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1203325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216"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(CHECK ONE):</w:t>
            </w:r>
          </w:p>
        </w:tc>
        <w:tc>
          <w:tcPr>
            <w:tcW w:w="1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 Form 10-K</w:t>
            </w:r>
          </w:p>
        </w:tc>
        <w:tc>
          <w:tcPr>
            <w:tcW w:w="1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 Form 20-F</w:t>
            </w:r>
          </w:p>
        </w:tc>
        <w:tc>
          <w:tcPr>
            <w:tcW w:w="1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 Form 11-K</w:t>
            </w:r>
          </w:p>
        </w:tc>
        <w:tc>
          <w:tcPr>
            <w:tcW w:w="1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 Form 10-Q</w:t>
            </w:r>
          </w:p>
        </w:tc>
        <w:tc>
          <w:tcPr>
            <w:tcW w:w="2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 Form N-SAR</w:t>
            </w:r>
          </w:p>
        </w:tc>
      </w:tr>
      <w:tr>
        <w:trPr>
          <w:trHeight w:val="540"/>
        </w:trPr>
        <w:tc>
          <w:tcPr>
            <w:tcW w:w="24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For Period Ended:</w:t>
            </w:r>
          </w:p>
        </w:tc>
        <w:tc>
          <w:tcPr>
            <w:tcW w:w="25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November 27, 2022</w:t>
            </w:r>
          </w:p>
        </w:tc>
        <w:tc>
          <w:tcPr>
            <w:tcW w:w="19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r>
    </w:tbl>
    <w:p>
      <w:pPr>
        <w:spacing w:after="0" w:line="306" w:lineRule="exact"/>
        <w:rPr>
          <w:sz w:val="24"/>
          <w:szCs w:val="24"/>
          <w:color w:val="auto"/>
        </w:rPr>
      </w:pPr>
    </w:p>
    <w:p>
      <w:pPr>
        <w:ind w:left="1920" w:hanging="153"/>
        <w:spacing w:after="0"/>
        <w:tabs>
          <w:tab w:leader="none" w:pos="1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Transition Report on Form 10-K</w:t>
      </w:r>
    </w:p>
    <w:p>
      <w:pPr>
        <w:spacing w:after="0" w:line="27" w:lineRule="exact"/>
        <w:rPr>
          <w:rFonts w:ascii="Times New Roman" w:cs="Times New Roman" w:eastAsia="Times New Roman" w:hAnsi="Times New Roman"/>
          <w:sz w:val="18"/>
          <w:szCs w:val="18"/>
          <w:color w:val="auto"/>
        </w:rPr>
      </w:pPr>
    </w:p>
    <w:p>
      <w:pPr>
        <w:ind w:left="1920" w:hanging="153"/>
        <w:spacing w:after="0"/>
        <w:tabs>
          <w:tab w:leader="none" w:pos="1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Transition Report on Form 20-F</w:t>
      </w:r>
    </w:p>
    <w:p>
      <w:pPr>
        <w:spacing w:after="0" w:line="22" w:lineRule="exact"/>
        <w:rPr>
          <w:rFonts w:ascii="Times New Roman" w:cs="Times New Roman" w:eastAsia="Times New Roman" w:hAnsi="Times New Roman"/>
          <w:sz w:val="18"/>
          <w:szCs w:val="18"/>
          <w:color w:val="auto"/>
        </w:rPr>
      </w:pPr>
    </w:p>
    <w:p>
      <w:pPr>
        <w:ind w:left="1920" w:hanging="153"/>
        <w:spacing w:after="0"/>
        <w:tabs>
          <w:tab w:leader="none" w:pos="1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Transition Report on Form 11-K</w:t>
      </w:r>
    </w:p>
    <w:p>
      <w:pPr>
        <w:spacing w:after="0" w:line="22" w:lineRule="exact"/>
        <w:rPr>
          <w:rFonts w:ascii="Times New Roman" w:cs="Times New Roman" w:eastAsia="Times New Roman" w:hAnsi="Times New Roman"/>
          <w:sz w:val="18"/>
          <w:szCs w:val="18"/>
          <w:color w:val="auto"/>
        </w:rPr>
      </w:pPr>
    </w:p>
    <w:p>
      <w:pPr>
        <w:ind w:left="1920" w:hanging="153"/>
        <w:spacing w:after="0"/>
        <w:tabs>
          <w:tab w:leader="none" w:pos="1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Transition Report on Form 10-Q</w:t>
      </w:r>
    </w:p>
    <w:p>
      <w:pPr>
        <w:spacing w:after="0" w:line="22" w:lineRule="exact"/>
        <w:rPr>
          <w:rFonts w:ascii="Times New Roman" w:cs="Times New Roman" w:eastAsia="Times New Roman" w:hAnsi="Times New Roman"/>
          <w:sz w:val="18"/>
          <w:szCs w:val="18"/>
          <w:color w:val="auto"/>
        </w:rPr>
      </w:pPr>
    </w:p>
    <w:p>
      <w:pPr>
        <w:ind w:left="1760" w:right="6440" w:firstLine="7"/>
        <w:spacing w:after="0" w:line="292" w:lineRule="auto"/>
        <w:tabs>
          <w:tab w:leader="none" w:pos="191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Transition Report on Form N-SAR For the Transaction Period Ended:</w:t>
      </w:r>
    </w:p>
    <w:p>
      <w:pPr>
        <w:spacing w:after="0" w:line="18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READ INSTRUCTION (ON BACK PAGE) BEFORE PREPARING FORM. PLEASE PRINT OR TYPE </w:t>
      </w:r>
      <w:r>
        <w:rPr>
          <w:rFonts w:ascii="Times New Roman" w:cs="Times New Roman" w:eastAsia="Times New Roman" w:hAnsi="Times New Roman"/>
          <w:sz w:val="18"/>
          <w:szCs w:val="18"/>
          <w:b w:val="1"/>
          <w:bCs w:val="1"/>
          <w:color w:val="auto"/>
        </w:rPr>
        <w:t>.</w:t>
      </w:r>
    </w:p>
    <w:p>
      <w:pPr>
        <w:ind w:left="320"/>
        <w:spacing w:after="0" w:line="210" w:lineRule="auto"/>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w:t>
      </w:r>
    </w:p>
    <w:p>
      <w:pPr>
        <w:ind w:left="4680"/>
        <w:spacing w:after="0"/>
        <w:rPr>
          <w:sz w:val="20"/>
          <w:szCs w:val="20"/>
          <w:color w:val="auto"/>
        </w:rPr>
      </w:pPr>
      <w:r>
        <w:rPr>
          <w:rFonts w:ascii="Times New Roman" w:cs="Times New Roman" w:eastAsia="Times New Roman" w:hAnsi="Times New Roman"/>
          <w:sz w:val="18"/>
          <w:szCs w:val="18"/>
          <w:b w:val="1"/>
          <w:bCs w:val="1"/>
          <w:color w:val="auto"/>
        </w:rPr>
        <w:t>CONTAINED HEREIN.</w:t>
      </w:r>
    </w:p>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Lifecore Biomedical,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4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Landec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4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3515 Lyman Boulevard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4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Chaska, Minnesota 55318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16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99" w:lineRule="exact"/>
        <w:rPr>
          <w:sz w:val="20"/>
          <w:szCs w:val="20"/>
          <w:color w:val="auto"/>
        </w:rPr>
      </w:pPr>
    </w:p>
    <w:p>
      <w:pPr>
        <w:ind w:left="840" w:hanging="560"/>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reasons described in reasonable detail in Part III of this form could not be eliminated without unreasonable effort or expense;</w:t>
      </w:r>
    </w:p>
    <w:p>
      <w:pPr>
        <w:sectPr>
          <w:pgSz w:w="11900" w:h="16838" w:orient="portrait"/>
          <w:cols w:equalWidth="0" w:num="1">
            <w:col w:w="11240"/>
          </w:cols>
          <w:pgMar w:left="320" w:top="1400" w:right="339" w:bottom="1440" w:gutter="0" w:footer="0" w:header="0"/>
        </w:sectPr>
      </w:pP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both"/>
        <w:ind w:right="20" w:hanging="519"/>
        <w:spacing w:after="0" w:line="224" w:lineRule="auto"/>
        <w:rPr>
          <w:sz w:val="20"/>
          <w:szCs w:val="20"/>
          <w:color w:val="auto"/>
        </w:rPr>
      </w:pPr>
      <w:r>
        <w:rPr>
          <w:rFonts w:ascii="Times New Roman" w:cs="Times New Roman" w:eastAsia="Times New Roman" w:hAnsi="Times New Roman"/>
          <w:sz w:val="18"/>
          <w:szCs w:val="18"/>
          <w:color w:val="auto"/>
        </w:rPr>
        <w:t>(b)</w:t>
      </w:r>
      <w:r>
        <w:rPr>
          <w:sz w:val="20"/>
          <w:szCs w:val="20"/>
          <w:color w:val="auto"/>
        </w:rPr>
        <w:t xml:space="preserve"> </w:t>
      </w:r>
      <w:r>
        <w:rPr>
          <w:rFonts w:ascii="Times New Roman" w:cs="Times New Roman" w:eastAsia="Times New Roman" w:hAnsi="Times New Roman"/>
          <w:sz w:val="18"/>
          <w:szCs w:val="18"/>
          <w:color w:val="auto"/>
        </w:rPr>
        <w:t>The subject annual report, semi-annual report, transition report on Form 10-K, Form 20-F, 11-K or Form N-SAR, or portion thereof, will be filed on or before the fifteenth calendar day following the prescribed due date; or the subject quarterly report or transition report on Form 10-Q, or portion thereof will be filed on or before the fifth calendar day following the prescribed due date; and</w:t>
      </w:r>
    </w:p>
    <w:p>
      <w:pPr>
        <w:spacing w:after="0" w:line="10" w:lineRule="exact"/>
        <w:rPr>
          <w:sz w:val="20"/>
          <w:szCs w:val="20"/>
          <w:color w:val="auto"/>
        </w:rPr>
      </w:pPr>
    </w:p>
    <w:p>
      <w:pPr>
        <w:sectPr>
          <w:pgSz w:w="11900" w:h="16838" w:orient="portrait"/>
          <w:cols w:equalWidth="0" w:num="2">
            <w:col w:w="640" w:space="720"/>
            <w:col w:w="9880"/>
          </w:cols>
          <w:pgMar w:left="320" w:top="1400" w:right="339" w:bottom="1440" w:gutter="0" w:footer="0" w:header="0"/>
          <w:type w:val="continuous"/>
        </w:sectPr>
      </w:pPr>
    </w:p>
    <w:p>
      <w:pPr>
        <w:jc w:val="center"/>
        <w:ind w:left="3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(c)</w:t>
      </w:r>
      <w:r>
        <w:rPr>
          <w:sz w:val="20"/>
          <w:szCs w:val="20"/>
          <w:color w:val="auto"/>
        </w:rPr>
        <w:tab/>
      </w:r>
      <w:r>
        <w:rPr>
          <w:rFonts w:ascii="Times New Roman" w:cs="Times New Roman" w:eastAsia="Times New Roman" w:hAnsi="Times New Roman"/>
          <w:sz w:val="17"/>
          <w:szCs w:val="17"/>
          <w:color w:val="auto"/>
        </w:rPr>
        <w:t>The accountant’s statement or other exhibit required by Rule 12b-25(c) has been attached if applicable.</w:t>
      </w:r>
    </w:p>
    <w:p>
      <w:pPr>
        <w:spacing w:after="0" w:line="211" w:lineRule="exact"/>
        <w:rPr>
          <w:sz w:val="20"/>
          <w:szCs w:val="20"/>
          <w:color w:val="auto"/>
        </w:rPr>
      </w:pPr>
    </w:p>
    <w:p>
      <w:pPr>
        <w:sectPr>
          <w:pgSz w:w="11900" w:h="16838" w:orient="portrait"/>
          <w:cols w:equalWidth="0" w:num="2">
            <w:col w:w="540" w:space="300"/>
            <w:col w:w="10400"/>
          </w:cols>
          <w:pgMar w:left="320" w:top="1400"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State below in reasonable detail the reasons why Forms 10-K, 20-F, 11-K, 10-Q, N-SAR, or the transition report or portion thereof, could not be filed within the prescribed time period.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Lifecore Biomedical, Inc. (the “Company”) is unable to file, without unreasonable effort and expense, its Quarterly Report on Form 10-Q for the period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ended November 27, 2022 (the “Second Quarter Form 10-Q”) in a timely manner. The Company experienced an unexpected delay in finalizing the financial statements relating to the assessment of certain asset impairments and subsequent events in the Second Quarter Form 10-Q. Specifically, with respect to its asset impairments, management is assessing its treatment of certain non-cash impairment charges related to the Company’s Curation Foods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business contained in its financial statements to be included in the Second Quarter Form 10-Q and its previously issued financial statements covering the Company’s fiscal year ended May 29, 2022 and the fiscal quarter ended August 28, 2022. The Company intends to evaluate the effect of the foregoing charges on the Company’s prior period financial information and on the related internal control over financial reporting, but such evaluation has not yet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been completed. Until this evaluation is completed, the Company will not be able to complete the financial statements to be included in the Second Quarter Form 10-Q and will not be in a position to complete and file the Second Quarter Form 10-Q. The Company will file the Second Quarter Form 10-Q as soon as practical.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ind w:left="560" w:hanging="534"/>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John D. Morberg</w:t>
            </w:r>
          </w:p>
        </w:tc>
        <w:tc>
          <w:tcPr>
            <w:tcW w:w="340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rPr>
              <w:t>952</w:t>
            </w:r>
          </w:p>
        </w:tc>
        <w:tc>
          <w:tcPr>
            <w:tcW w:w="400" w:type="dxa"/>
            <w:vAlign w:val="bottom"/>
          </w:tcPr>
          <w:p>
            <w:pPr>
              <w:spacing w:after="0"/>
              <w:rPr>
                <w:sz w:val="20"/>
                <w:szCs w:val="20"/>
                <w:color w:val="auto"/>
              </w:rPr>
            </w:pPr>
          </w:p>
        </w:tc>
        <w:tc>
          <w:tcPr>
            <w:tcW w:w="35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368-4300</w:t>
            </w:r>
          </w:p>
        </w:tc>
      </w:tr>
      <w:tr>
        <w:trPr>
          <w:trHeight w:val="228"/>
        </w:trPr>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w:t>
            </w:r>
          </w:p>
        </w:tc>
        <w:tc>
          <w:tcPr>
            <w:tcW w:w="420" w:type="dxa"/>
            <w:vAlign w:val="bottom"/>
          </w:tcPr>
          <w:p>
            <w:pPr>
              <w:spacing w:after="0"/>
              <w:rPr>
                <w:sz w:val="19"/>
                <w:szCs w:val="19"/>
                <w:color w:val="auto"/>
              </w:rPr>
            </w:pPr>
          </w:p>
        </w:tc>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(Area Code)</w:t>
            </w:r>
          </w:p>
        </w:tc>
        <w:tc>
          <w:tcPr>
            <w:tcW w:w="40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301" w:lineRule="exact"/>
        <w:rPr>
          <w:sz w:val="20"/>
          <w:szCs w:val="20"/>
          <w:color w:val="auto"/>
        </w:rPr>
      </w:pPr>
    </w:p>
    <w:p>
      <w:pPr>
        <w:jc w:val="both"/>
        <w:ind w:left="560" w:right="60" w:hanging="534"/>
        <w:spacing w:after="0" w:line="226" w:lineRule="auto"/>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347" w:lineRule="exact"/>
        <w:rPr>
          <w:sz w:val="20"/>
          <w:szCs w:val="20"/>
          <w:color w:val="auto"/>
        </w:rPr>
      </w:pPr>
    </w:p>
    <w:p>
      <w:pPr>
        <w:ind w:left="6660"/>
        <w:spacing w:after="0"/>
        <w:tabs>
          <w:tab w:leader="none" w:pos="10720" w:val="left"/>
        </w:tabs>
        <w:rPr>
          <w:sz w:val="20"/>
          <w:szCs w:val="20"/>
          <w:color w:val="auto"/>
        </w:rPr>
      </w:pPr>
      <w:r>
        <w:rPr>
          <w:rFonts w:ascii="Times New Roman" w:cs="Times New Roman" w:eastAsia="Times New Roman" w:hAnsi="Times New Roman"/>
          <w:sz w:val="18"/>
          <w:szCs w:val="18"/>
          <w:color w:val="auto"/>
        </w:rPr>
        <w:t>[X] Yes</w:t>
      </w:r>
      <w:r>
        <w:rPr>
          <w:sz w:val="20"/>
          <w:szCs w:val="20"/>
          <w:color w:val="auto"/>
        </w:rPr>
        <w:tab/>
      </w:r>
      <w:r>
        <w:rPr>
          <w:rFonts w:ascii="Times New Roman" w:cs="Times New Roman" w:eastAsia="Times New Roman" w:hAnsi="Times New Roman"/>
          <w:sz w:val="18"/>
          <w:szCs w:val="18"/>
          <w:color w:val="auto"/>
        </w:rPr>
        <w:t>[ ] No</w:t>
      </w:r>
    </w:p>
    <w:p>
      <w:pPr>
        <w:spacing w:after="0" w:line="333" w:lineRule="exact"/>
        <w:rPr>
          <w:sz w:val="20"/>
          <w:szCs w:val="20"/>
          <w:color w:val="auto"/>
        </w:rPr>
      </w:pPr>
    </w:p>
    <w:p>
      <w:pPr>
        <w:ind w:left="560" w:right="60" w:hanging="534"/>
        <w:spacing w:after="0" w:line="237" w:lineRule="auto"/>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361" w:lineRule="exact"/>
        <w:rPr>
          <w:sz w:val="20"/>
          <w:szCs w:val="20"/>
          <w:color w:val="auto"/>
        </w:rPr>
      </w:pPr>
    </w:p>
    <w:p>
      <w:pPr>
        <w:ind w:left="6760"/>
        <w:spacing w:after="0"/>
        <w:tabs>
          <w:tab w:leader="none" w:pos="10680" w:val="left"/>
        </w:tabs>
        <w:rPr>
          <w:sz w:val="20"/>
          <w:szCs w:val="20"/>
          <w:color w:val="auto"/>
        </w:rPr>
      </w:pPr>
      <w:r>
        <w:rPr>
          <w:rFonts w:ascii="Times New Roman" w:cs="Times New Roman" w:eastAsia="Times New Roman" w:hAnsi="Times New Roman"/>
          <w:sz w:val="18"/>
          <w:szCs w:val="18"/>
          <w:color w:val="auto"/>
        </w:rPr>
        <w:t>[ ] Yes</w:t>
      </w:r>
      <w:r>
        <w:rPr>
          <w:sz w:val="20"/>
          <w:szCs w:val="20"/>
          <w:color w:val="auto"/>
        </w:rPr>
        <w:tab/>
      </w:r>
      <w:r>
        <w:rPr>
          <w:rFonts w:ascii="Times New Roman" w:cs="Times New Roman" w:eastAsia="Times New Roman" w:hAnsi="Times New Roman"/>
          <w:sz w:val="18"/>
          <w:szCs w:val="18"/>
          <w:color w:val="auto"/>
        </w:rPr>
        <w:t>[X] No</w:t>
      </w:r>
    </w:p>
    <w:p>
      <w:pPr>
        <w:spacing w:after="0" w:line="333" w:lineRule="exact"/>
        <w:rPr>
          <w:sz w:val="20"/>
          <w:szCs w:val="20"/>
          <w:color w:val="auto"/>
        </w:rPr>
      </w:pPr>
    </w:p>
    <w:p>
      <w:pPr>
        <w:ind w:left="300" w:right="40"/>
        <w:spacing w:after="0" w:line="237"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00" w:right="339" w:bottom="144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Lifecore Biomedical,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10" w:lineRule="exact"/>
        <w:rPr>
          <w:sz w:val="20"/>
          <w:szCs w:val="20"/>
          <w:color w:val="auto"/>
        </w:rPr>
      </w:pPr>
    </w:p>
    <w:p>
      <w:pPr>
        <w:ind w:left="20"/>
        <w:spacing w:after="0"/>
        <w:tabs>
          <w:tab w:leader="none" w:pos="5520" w:val="left"/>
          <w:tab w:leader="none" w:pos="6100" w:val="left"/>
        </w:tabs>
        <w:rPr>
          <w:sz w:val="20"/>
          <w:szCs w:val="20"/>
          <w:color w:val="auto"/>
        </w:rPr>
      </w:pPr>
      <w:r>
        <w:rPr>
          <w:rFonts w:ascii="Times New Roman" w:cs="Times New Roman" w:eastAsia="Times New Roman" w:hAnsi="Times New Roman"/>
          <w:sz w:val="18"/>
          <w:szCs w:val="18"/>
          <w:color w:val="auto"/>
        </w:rPr>
        <w:t>Date: January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John D. Morberg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18415</wp:posOffset>
            </wp:positionV>
            <wp:extent cx="32658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John D. Morberg, Chief Financial Officer</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INSTRUCTION: </w:t>
      </w:r>
      <w:r>
        <w:rPr>
          <w:rFonts w:ascii="Times New Roman" w:cs="Times New Roman" w:eastAsia="Times New Roman" w:hAnsi="Times New Roman"/>
          <w:sz w:val="18"/>
          <w:szCs w:val="18"/>
          <w:color w:val="auto"/>
        </w:rPr>
        <w:t>The form may be signed by an executive officer of the registrant or by any other duly authorized representative. The name and title of</w:t>
      </w:r>
    </w:p>
    <w:p>
      <w:pPr>
        <w:spacing w:after="0" w:line="6"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19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INTENTIONAL MISSTATEMENTS OR OMISSIONS OF FACT</w:t>
      </w:r>
    </w:p>
    <w:p>
      <w:pPr>
        <w:jc w:val="center"/>
        <w:ind w:right="-19"/>
        <w:spacing w:after="0" w:line="203" w:lineRule="auto"/>
        <w:rPr>
          <w:sz w:val="20"/>
          <w:szCs w:val="20"/>
          <w:color w:val="auto"/>
        </w:rPr>
      </w:pPr>
      <w:r>
        <w:rPr>
          <w:rFonts w:ascii="Times New Roman" w:cs="Times New Roman" w:eastAsia="Times New Roman" w:hAnsi="Times New Roman"/>
          <w:sz w:val="18"/>
          <w:szCs w:val="18"/>
          <w:b w:val="1"/>
          <w:bCs w:val="1"/>
          <w:color w:val="auto"/>
        </w:rPr>
        <w:t>CONSTITUTE FEDERAL CRIMINAL VIOLATIONS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18 U.S.C. 1001)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24"/>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2023-01-09T15:44:00Z</dcterms:created>
  <dcterms:modified xsi:type="dcterms:W3CDTF">2023-01-09T15:44:00Z</dcterms:modified>
</cp:coreProperties>
</file>