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Antunes Humberto Calheiros</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(Last)</w:t>
            </w:r>
          </w:p>
        </w:tc>
        <w:tc>
          <w:tcPr>
            <w:tcW w:w="1080" w:type="dxa"/>
            <w:vAlign w:val="bottom"/>
          </w:tcPr>
          <w:p>
            <w:pPr>
              <w:ind w:left="26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LIFECORE BIOMEDICAL, INC.</w:t>
            </w:r>
          </w:p>
        </w:tc>
      </w:tr>
      <w:tr>
        <w:trPr>
          <w:trHeight w:val="267"/>
        </w:trPr>
        <w:tc>
          <w:tcPr>
            <w:tcW w:w="40" w:type="dxa"/>
            <w:vAlign w:val="bottom"/>
          </w:tcPr>
          <w:p>
            <w:pPr>
              <w:spacing w:after="0"/>
              <w:rPr>
                <w:sz w:val="23"/>
                <w:szCs w:val="23"/>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3515 LYMAN BLVD.</w:t>
            </w:r>
          </w:p>
        </w:tc>
        <w:tc>
          <w:tcPr>
            <w:tcW w:w="160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6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CHASKA</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MN</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55318</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LIFECORE BIOMEDICAL, INC. \DE\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260" w:type="dxa"/>
            <w:vAlign w:val="bottom"/>
            <w:tcBorders>
              <w:bottom w:val="single" w:sz="8" w:color="0000EE"/>
            </w:tcBorders>
          </w:tcPr>
          <w:p>
            <w:pPr>
              <w:spacing w:after="0"/>
              <w:rPr>
                <w:sz w:val="3"/>
                <w:szCs w:val="3"/>
                <w:color w:val="auto"/>
              </w:rPr>
            </w:pPr>
          </w:p>
        </w:tc>
        <w:tc>
          <w:tcPr>
            <w:tcW w:w="36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LFCR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3740" w:type="dxa"/>
            <w:vAlign w:val="bottom"/>
            <w:gridSpan w:val="3"/>
            <w:vMerge w:val="continue"/>
          </w:tcPr>
          <w:p>
            <w:pPr>
              <w:spacing w:after="0"/>
              <w:rPr>
                <w:sz w:val="10"/>
                <w:szCs w:val="10"/>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326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860" w:type="dxa"/>
            <w:vAlign w:val="bottom"/>
          </w:tcPr>
          <w:p>
            <w:pPr>
              <w:ind w:left="600"/>
              <w:spacing w:after="0" w:line="11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1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4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06/04/2026</w:t>
            </w:r>
          </w:p>
        </w:tc>
        <w:tc>
          <w:tcPr>
            <w:tcW w:w="3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326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3300" w:type="dxa"/>
            <w:vAlign w:val="bottom"/>
            <w:tcBorders>
              <w:bottom w:val="single" w:sz="8" w:color="2C2C2C"/>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2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58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0000FF"/>
              </w:rPr>
              <w:t>06/04/2026</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25,907</w:t>
            </w:r>
          </w:p>
        </w:tc>
        <w:tc>
          <w:tcPr>
            <w:tcW w:w="440" w:type="dxa"/>
            <w:vAlign w:val="bottom"/>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3"/>
                <w:szCs w:val="23"/>
                <w:color w:val="auto"/>
              </w:rPr>
            </w:pPr>
          </w:p>
        </w:tc>
        <w:tc>
          <w:tcPr>
            <w:tcW w:w="54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008000"/>
              </w:rPr>
              <w:t>(1)(2)</w:t>
            </w: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72,967</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convert into common stock of Lifecore Biomedical, Inc. on a 1 for 1 basis.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Vests on earlier of June 4, 2027 or the date of the annual meeting of stockholders of the Company first held in calendar year 2027 (provided such date is no less than 50 weeks from June 4, 2026).</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Courtney Schuler,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271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2710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w:t>
      </w:r>
      <w:r>
        <w:rPr>
          <w:sz w:val="20"/>
          <w:szCs w:val="20"/>
          <w:color w:val="auto"/>
        </w:rPr>
        <w:tab/>
      </w:r>
      <w:r>
        <w:rPr>
          <w:rFonts w:ascii="Times New Roman" w:cs="Times New Roman" w:eastAsia="Times New Roman" w:hAnsi="Times New Roman"/>
          <w:sz w:val="17"/>
          <w:szCs w:val="17"/>
          <w:color w:val="0000FF"/>
        </w:rPr>
        <w:t>06/05/2026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9010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0106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-12700</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Humberto C Antunes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9410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94107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800145" TargetMode="External"/><Relationship Id="rId14" Type="http://schemas.openxmlformats.org/officeDocument/2006/relationships/hyperlink" Target="http://www.sec.gov/cgi-bin/browse-edgar?action=getcompany&amp;CIK=00010052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2026-06-05T15:51:48Z</dcterms:created>
  <dcterms:modified xsi:type="dcterms:W3CDTF">2026-06-05T15:51:48Z</dcterms:modified>
</cp:coreProperties>
</file>