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September 22, 2025</w:t>
      </w:r>
    </w:p>
    <w:p>
      <w:pPr>
        <w:pStyle w:val="TextBody"/>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Registration No. 333-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S-3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REGISTRATION STATEMENT</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UNDER</w:t>
      </w:r>
    </w:p>
    <w:p>
      <w:pPr>
        <w:pStyle w:val="TextBody"/>
        <w:bidi w:val="0"/>
        <w:spacing w:lineRule="auto" w:line="288" w:before="0" w:after="24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Lifecore Biomedical, Inc.</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989" w:type="dxa"/>
        <w:jc w:val="left"/>
        <w:tblInd w:w="0" w:type="dxa"/>
        <w:tblLayout w:type="fixed"/>
        <w:tblCellMar>
          <w:top w:w="28" w:type="dxa"/>
          <w:left w:w="28" w:type="dxa"/>
          <w:bottom w:w="28" w:type="dxa"/>
          <w:right w:w="28" w:type="dxa"/>
        </w:tblCellMar>
      </w:tblPr>
      <w:tblGrid>
        <w:gridCol w:w="809"/>
        <w:gridCol w:w="711"/>
        <w:gridCol w:w="715"/>
        <w:gridCol w:w="511"/>
        <w:gridCol w:w="511"/>
        <w:gridCol w:w="732"/>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94-3025618</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3515 Lyman Boulevard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Chaska, Minnesota 55318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(952) 368-4300</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Tom Salus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Chief Legal and Administration Officer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Lifecore Biomedical,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3515 Lyman Boulevard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Chaska, Minnesota 55318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(952) 368-4300</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p>
      <w:pPr>
        <w:pStyle w:val="TextBody"/>
        <w:bidi w:val="0"/>
        <w:spacing w:lineRule="auto" w:line="288" w:before="0" w:after="180"/>
        <w:jc w:val="center"/>
        <w:rPr>
          <w:rFonts w:ascii="Times New Roman;serif" w:hAnsi="Times New Roman;serif"/>
          <w:b/>
          <w:i/>
          <w:color w:val="000000"/>
          <w:sz w:val="16"/>
        </w:rPr>
      </w:pPr>
      <w:r>
        <w:rPr>
          <w:rFonts w:ascii="Times New Roman;serif" w:hAnsi="Times New Roman;serif"/>
          <w:b/>
          <w:i/>
          <w:color w:val="000000"/>
          <w:sz w:val="16"/>
        </w:rPr>
        <w:t>Copies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Darren Guttenberg</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 Ross McAloon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Latham &amp; Watkins LLP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650 Town Center Drive, 20th Floor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Costa Mesa, California 92626</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(714) 540-1235</w:t>
      </w:r>
    </w:p>
    <w:p>
      <w:pPr>
        <w:pStyle w:val="TextBody"/>
        <w:bidi w:val="0"/>
        <w:spacing w:lineRule="auto" w:line="288" w:before="0" w:after="180"/>
        <w:jc w:val="both"/>
        <w:rPr/>
      </w:pPr>
      <w:r>
        <w:rPr>
          <w:rFonts w:ascii="Times New Roman;serif" w:hAnsi="Times New Roman;serif"/>
          <w:b/>
          <w:color w:val="000000"/>
          <w:sz w:val="16"/>
        </w:rPr>
        <w:t xml:space="preserve">Approximate date of commencement of proposed sale to the public: </w:t>
      </w:r>
      <w:r>
        <w:rPr>
          <w:rFonts w:ascii="Times New Roman;serif" w:hAnsi="Times New Roman;serif"/>
          <w:b w:val="false"/>
          <w:color w:val="000000"/>
          <w:sz w:val="16"/>
        </w:rPr>
        <w:t>From time to time after the effective date of this registration statement.</w:t>
      </w:r>
    </w:p>
    <w:p>
      <w:pPr>
        <w:pStyle w:val="TextBody"/>
        <w:bidi w:val="0"/>
        <w:spacing w:lineRule="auto" w:line="288" w:before="0" w:after="180"/>
        <w:jc w:val="both"/>
        <w:rPr/>
      </w:pPr>
      <w:r>
        <w:rPr>
          <w:rFonts w:ascii="Times New Roman;serif" w:hAnsi="Times New Roman;serif"/>
          <w:b w:val="false"/>
          <w:color w:val="000000"/>
          <w:sz w:val="16"/>
        </w:rPr>
        <w:t xml:space="preserve">If the only securities being registered on this Form are being offered pursuant to dividend or interest reinvestment plans, please check the following box: </w:t>
      </w:r>
      <w:r>
        <w:rPr>
          <w:rFonts w:ascii="Wingdings;sans-serif" w:hAnsi="Wingdings;sans-serif"/>
          <w:b w:val="false"/>
          <w:color w:val="000000"/>
          <w:sz w:val="16"/>
        </w:rPr>
        <w:t>o</w:t>
      </w:r>
    </w:p>
    <w:p>
      <w:pPr>
        <w:pStyle w:val="TextBody"/>
        <w:bidi w:val="0"/>
        <w:spacing w:lineRule="auto" w:line="288" w:before="0" w:after="180"/>
        <w:jc w:val="both"/>
        <w:rPr/>
      </w:pPr>
      <w:r>
        <w:rPr>
          <w:rFonts w:ascii="Times New Roman;serif" w:hAnsi="Times New Roman;serif"/>
          <w:b w:val="false"/>
          <w:color w:val="000000"/>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Wingdings;sans-serif" w:hAnsi="Wingdings;sans-serif"/>
          <w:b w:val="false"/>
          <w:color w:val="000000"/>
          <w:sz w:val="16"/>
        </w:rPr>
        <w:t>x</w:t>
      </w:r>
    </w:p>
    <w:p>
      <w:pPr>
        <w:pStyle w:val="TextBody"/>
        <w:bidi w:val="0"/>
        <w:spacing w:lineRule="auto" w:line="288" w:before="0" w:after="180"/>
        <w:jc w:val="both"/>
        <w:rPr/>
      </w:pPr>
      <w:r>
        <w:rPr>
          <w:rFonts w:ascii="Times New Roman;serif" w:hAnsi="Times New Roman;serif"/>
          <w:b w:val="false"/>
          <w:color w:val="000000"/>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sans-serif" w:hAnsi="Wingdings;sans-serif"/>
          <w:b w:val="false"/>
          <w:color w:val="000000"/>
          <w:sz w:val="16"/>
        </w:rPr>
        <w:t>o</w:t>
      </w:r>
    </w:p>
    <w:p>
      <w:pPr>
        <w:pStyle w:val="TextBody"/>
        <w:bidi w:val="0"/>
        <w:spacing w:lineRule="auto" w:line="288" w:before="0" w:after="180"/>
        <w:jc w:val="both"/>
        <w:rPr/>
      </w:pPr>
      <w:r>
        <w:rPr>
          <w:rFonts w:ascii="Times New Roman;serif" w:hAnsi="Times New Roman;serif"/>
          <w:b w:val="false"/>
          <w:color w:val="000000"/>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16"/>
        </w:rPr>
        <w:t>o</w:t>
      </w:r>
    </w:p>
    <w:p>
      <w:pPr>
        <w:pStyle w:val="TextBody"/>
        <w:bidi w:val="0"/>
        <w:spacing w:lineRule="auto" w:line="288" w:before="0" w:after="180"/>
        <w:jc w:val="both"/>
        <w:rPr/>
      </w:pPr>
      <w:r>
        <w:rPr>
          <w:rFonts w:ascii="Times New Roman;serif" w:hAnsi="Times New Roman;serif"/>
          <w:b w:val="false"/>
          <w:color w:val="000000"/>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sans-serif" w:hAnsi="Wingdings;sans-serif"/>
          <w:b w:val="false"/>
          <w:color w:val="000000"/>
          <w:sz w:val="16"/>
        </w:rPr>
        <w:t>o</w:t>
      </w:r>
    </w:p>
    <w:p>
      <w:pPr>
        <w:pStyle w:val="TextBody"/>
        <w:bidi w:val="0"/>
        <w:spacing w:lineRule="auto" w:line="288" w:before="0" w:after="180"/>
        <w:jc w:val="both"/>
        <w:rPr/>
      </w:pPr>
      <w:r>
        <w:rPr>
          <w:rFonts w:ascii="Times New Roman;serif" w:hAnsi="Times New Roman;serif"/>
          <w:b w:val="false"/>
          <w:color w:val="000000"/>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sans-serif" w:hAnsi="Wingdings;sans-serif"/>
          <w:b w:val="false"/>
          <w:color w:val="000000"/>
          <w:sz w:val="16"/>
        </w:rPr>
        <w:t>o</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18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Wingdings;sans-serif" w:hAnsi="Wingdings;sans-serif"/>
          <w:b w:val="false"/>
          <w:color w:val="000000"/>
          <w:sz w:val="16"/>
        </w:rPr>
        <w:t>o</w:t>
      </w:r>
    </w:p>
    <w:p>
      <w:pPr>
        <w:pStyle w:val="TextBody"/>
        <w:bidi w:val="0"/>
        <w:spacing w:lineRule="auto" w:line="288" w:before="0" w:after="180"/>
        <w:jc w:val="both"/>
        <w:rPr>
          <w:rFonts w:ascii="Times New Roman;serif" w:hAnsi="Times New Roman;serif"/>
          <w:b/>
          <w:color w:val="000000"/>
          <w:sz w:val="16"/>
        </w:rPr>
      </w:pPr>
      <w:r>
        <w:rPr>
          <w:rFonts w:ascii="Times New Roman;serif" w:hAnsi="Times New Roman;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contains two prospectuses: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base prospectus covering the offering, issuance and sale by us of up to a maximum aggregate offering price of $150,000,000 of the securities identified therein from time to time in one or more offerings;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resale prospectus covering the offering and sale by the selling securityholders named therein of up to 20,456,637 shares of our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base prospectus immediately follows this explanatory note. The material terms of any securities to be offered pursuant to the base prospectus will be specified in a prospectus supplement to the base prospectus. The resale prospectus immediately follows the base prospectus. The $150,000,000 of securities that we may offer, issue and sell under the base prospectus is exclusive of the 20,456,637 shares of our common stock that may be offered and sold by the selling securityholders under the resale 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this registration statement on Form S-3 (this “Registration Statement”) is being filed by Lifecore Biomedical, Inc. (the “Company”) pursuant to Rule 415(a)(6) under the Securities Act of 1933, as amended (the “Securities Act”), to replace the Company’s registration statements on Form S-1 (File Nos. 333-271176 and 333-282583), initially filed with the Securities and Exchange Commission on April 6, 2023 and October 10, 2024, respectively (the “Prior Registration Statements”). Pursuant to Rule 415(a)(6) under the Securities Act, we are registering on this Registration Statement an aggregate of 19,462,830 shares of common stock (the “Unsold Securities”) previously registered under the Prior Registration Statements, which are included herein on the resale prospectus. In accordance with Rule 415(a)(6), the effectiveness of this Registration Statement will be deemed to terminate the Prior Registration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DE1A1E"/>
          <w:sz w:val="20"/>
          <w:shd w:fill="FFFFFF" w:val="clear"/>
        </w:rPr>
      </w:pPr>
      <w:r>
        <w:rPr>
          <w:rFonts w:ascii="Times New Roman;serif" w:hAnsi="Times New Roman;serif"/>
          <w:b/>
          <w:color w:val="DE1A1E"/>
          <w:sz w:val="20"/>
          <w:shd w:fill="FFFFFF" w:val="clear"/>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lineRule="auto" w:line="288" w:before="0" w:after="180"/>
        <w:jc w:val="center"/>
        <w:rPr/>
      </w:pPr>
      <w:r>
        <w:rPr>
          <w:rFonts w:ascii="Times New Roman;serif" w:hAnsi="Times New Roman;serif"/>
          <w:b/>
          <w:color w:val="DE1A1E"/>
          <w:sz w:val="20"/>
          <w:shd w:fill="FFFFFF" w:val="clear"/>
        </w:rPr>
        <w:t>S</w:t>
      </w:r>
      <w:r>
        <w:rPr>
          <w:rFonts w:ascii="Times New Roman;serif" w:hAnsi="Times New Roman;serif"/>
          <w:b/>
          <w:color w:val="EE2724"/>
          <w:sz w:val="20"/>
          <w:shd w:fill="FFFFFF" w:val="clear"/>
        </w:rPr>
        <w:t xml:space="preserve">ubject to Completion, dated </w:t>
      </w:r>
      <w:r>
        <w:rPr>
          <w:rFonts w:ascii="Times New Roman;serif" w:hAnsi="Times New Roman;serif"/>
          <w:b/>
          <w:color w:val="EE2724"/>
          <w:sz w:val="20"/>
        </w:rPr>
        <w:t>September 22,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2743200" cy="7334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743200" cy="73342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$150,000,000</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offer and sell up to $150,000,000 in the aggregate of the securities identified above. This prospectus provides you with a general description of the securities from time to time in one or more offerings.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to the extent appropriate or required by law.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lineRule="auto" w:line="288" w:before="0" w:after="180"/>
        <w:jc w:val="both"/>
        <w:rPr/>
      </w:pPr>
      <w:r>
        <w:rPr>
          <w:rFonts w:ascii="Times New Roman;serif" w:hAnsi="Times New Roman;serif"/>
          <w:b/>
          <w:color w:val="000000"/>
          <w:sz w:val="20"/>
        </w:rPr>
        <w:t>INVESTING IN OUR SECURITIES INVOLVES RISKS. SEE THE “</w:t>
      </w:r>
      <w:hyperlink w:anchor="i19c7df6d624e4f55bd835299b1ddb3bb_499">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19c7df6d624e4f55bd835299b1ddb3bb_499">
        <w:r>
          <w:rPr>
            <w:rStyle w:val="InternetLink"/>
            <w:rFonts w:ascii="Times New Roman;serif" w:hAnsi="Times New Roman;serif"/>
            <w:b/>
            <w:strike w:val="false"/>
            <w:dstrike w:val="false"/>
            <w:color w:val="000000"/>
            <w:sz w:val="20"/>
            <w:u w:val="none"/>
            <w:effect w:val="none"/>
          </w:rPr>
          <w:t>6</w:t>
        </w:r>
      </w:hyperlink>
      <w:r>
        <w:rPr>
          <w:rFonts w:ascii="Times New Roman;serif" w:hAnsi="Times New Roman;serif"/>
          <w:b/>
          <w:color w:val="000000"/>
          <w:sz w:val="20"/>
        </w:rPr>
        <w:t xml:space="preserve"> OF THIS PROSPECTUS AND ANY SIMILAR SECTION CONTAINED IN THE APPLICABLE PROSPECTUS SUPPLEMENT CONCERNING FACTORS YOU SHOULD CONSIDER BEFORE INVESTING IN OUR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“LFCR.” On September 19, 2025, the last reported sale price of our common stock on the Nasdaq Global Select Market was $7.87 per share.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707" w:type="dxa"/>
        <w:jc w:val="left"/>
        <w:tblInd w:w="0" w:type="dxa"/>
        <w:tblLayout w:type="fixed"/>
        <w:tblCellMar>
          <w:top w:w="28" w:type="dxa"/>
          <w:left w:w="28" w:type="dxa"/>
          <w:bottom w:w="28" w:type="dxa"/>
          <w:right w:w="28" w:type="dxa"/>
        </w:tblCellMar>
      </w:tblPr>
      <w:tblGrid>
        <w:gridCol w:w="2656"/>
        <w:gridCol w:w="2337"/>
        <w:gridCol w:w="2342"/>
        <w:gridCol w:w="109"/>
        <w:gridCol w:w="109"/>
        <w:gridCol w:w="154"/>
      </w:tblGrid>
      <w:tr>
        <w:trPr/>
        <w:tc>
          <w:tcPr>
            <w:tcW w:w="2656"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45">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45">
              <w:r>
                <w:rPr>
                  <w:rStyle w:val="InternetLink"/>
                  <w:rFonts w:ascii="Times New Roman;serif" w:hAnsi="Times New Roman;serif"/>
                  <w:b w:val="false"/>
                  <w:color w:val="0000FF"/>
                  <w:sz w:val="20"/>
                  <w:u w:val="single"/>
                </w:rPr>
                <w:t>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333">
              <w:r>
                <w:rPr>
                  <w:rStyle w:val="InternetLink"/>
                  <w:rFonts w:ascii="Times New Roman;serif" w:hAnsi="Times New Roman;serif"/>
                  <w:b w:val="false"/>
                  <w:color w:val="0000FF"/>
                  <w:sz w:val="20"/>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333">
              <w:r>
                <w:rPr>
                  <w:rStyle w:val="InternetLink"/>
                  <w:rFonts w:ascii="Times New Roman;serif" w:hAnsi="Times New Roman;serif"/>
                  <w:b w:val="false"/>
                  <w:color w:val="0000FF"/>
                  <w:sz w:val="20"/>
                  <w:u w:val="single"/>
                </w:rPr>
                <w:t>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354">
              <w:r>
                <w:rPr>
                  <w:rStyle w:val="InternetLink"/>
                  <w:rFonts w:ascii="Times New Roman;serif" w:hAnsi="Times New Roman;serif"/>
                  <w:b w:val="false"/>
                  <w:color w:val="0000FF"/>
                  <w:sz w:val="20"/>
                  <w:u w:val="single"/>
                </w:rPr>
                <w:t>WHERE YOU CAN FIND MORE INFORMATION; 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354">
              <w:r>
                <w:rPr>
                  <w:rStyle w:val="InternetLink"/>
                  <w:rFonts w:ascii="Times New Roman;serif" w:hAnsi="Times New Roman;serif"/>
                  <w:b w:val="false"/>
                  <w:color w:val="0000FF"/>
                  <w:sz w:val="20"/>
                  <w:u w:val="single"/>
                </w:rPr>
                <w:t>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478">
              <w:r>
                <w:rPr>
                  <w:rStyle w:val="InternetLink"/>
                  <w:rFonts w:ascii="Times New Roman;serif" w:hAnsi="Times New Roman;serif"/>
                  <w:b w:val="false"/>
                  <w:color w:val="0000FF"/>
                  <w:sz w:val="20"/>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478">
              <w:r>
                <w:rPr>
                  <w:rStyle w:val="InternetLink"/>
                  <w:rFonts w:ascii="Times New Roman;serif" w:hAnsi="Times New Roman;serif"/>
                  <w:b w:val="false"/>
                  <w:color w:val="0000FF"/>
                  <w:sz w:val="20"/>
                  <w:u w:val="single"/>
                </w:rPr>
                <w:t>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499">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499">
              <w:r>
                <w:rPr>
                  <w:rStyle w:val="InternetLink"/>
                  <w:rFonts w:ascii="Times New Roman;serif" w:hAnsi="Times New Roman;serif"/>
                  <w:b w:val="false"/>
                  <w:color w:val="0000FF"/>
                  <w:sz w:val="20"/>
                  <w:u w:val="single"/>
                </w:rPr>
                <w:t>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520">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520">
              <w:r>
                <w:rPr>
                  <w:rStyle w:val="InternetLink"/>
                  <w:rFonts w:ascii="Times New Roman;serif" w:hAnsi="Times New Roman;serif"/>
                  <w:b w:val="false"/>
                  <w:color w:val="0000FF"/>
                  <w:sz w:val="20"/>
                  <w:u w:val="single"/>
                </w:rPr>
                <w:t>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541">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541">
              <w:r>
                <w:rPr>
                  <w:rStyle w:val="InternetLink"/>
                  <w:rFonts w:ascii="Times New Roman;serif" w:hAnsi="Times New Roman;serif"/>
                  <w:b w:val="false"/>
                  <w:color w:val="0000FF"/>
                  <w:sz w:val="20"/>
                  <w:u w:val="single"/>
                </w:rPr>
                <w:t>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562">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562">
              <w:r>
                <w:rPr>
                  <w:rStyle w:val="InternetLink"/>
                  <w:rFonts w:ascii="Times New Roman;serif" w:hAnsi="Times New Roman;serif"/>
                  <w:b w:val="false"/>
                  <w:color w:val="0000FF"/>
                  <w:sz w:val="20"/>
                  <w:u w:val="single"/>
                </w:rPr>
                <w:t>12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583">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583">
              <w:r>
                <w:rPr>
                  <w:rStyle w:val="InternetLink"/>
                  <w:rFonts w:ascii="Times New Roman;serif" w:hAnsi="Times New Roman;serif"/>
                  <w:b w:val="false"/>
                  <w:color w:val="0000FF"/>
                  <w:sz w:val="20"/>
                  <w:u w:val="single"/>
                </w:rPr>
                <w:t>13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396">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396">
              <w:r>
                <w:rPr>
                  <w:rStyle w:val="InternetLink"/>
                  <w:rFonts w:ascii="Times New Roman;serif" w:hAnsi="Times New Roman;serif"/>
                  <w:b w:val="false"/>
                  <w:color w:val="0000FF"/>
                  <w:sz w:val="20"/>
                  <w:u w:val="single"/>
                </w:rPr>
                <w:t>15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417">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417">
              <w:r>
                <w:rPr>
                  <w:rStyle w:val="InternetLink"/>
                  <w:rFonts w:ascii="Times New Roman;serif" w:hAnsi="Times New Roman;serif"/>
                  <w:b w:val="false"/>
                  <w:color w:val="0000FF"/>
                  <w:sz w:val="20"/>
                  <w:u w:val="single"/>
                </w:rPr>
                <w:t>15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or, in each case, any earlier date specified for such information,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When we refer to “Lifecore,” “we,” “our,” “us” and the “Company” in this prospectus, we mean Lifecore Biomedical, Inc. and its consolidated subsidiaries, unless otherwise specified. When we refer to “you,” we mean the potential holders of the applicable series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prospectus and any applicable prospectus supplement contain forward-looking statements, which reflect our current views with respect to, among other things, our operations and financial performance. All statements other than statements of historical facts contained in this prospectus and any applicable prospectus supplement are forward-looking statements, including any statements regarding our strategy, future operations, future financial position, future revenue, projected costs, prospects, plans, objectives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“should,” “expects,” “might,” “plans,” “anticipates,” “could,” “intends,” “target,”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the risks described under the heading “Risk Factors” contained in this prospectus, the applicable prospectus supplement and any applicable free writing prospectus, and under similar headings in other documents that are incorporated by reference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jc w:val="both"/>
        <w:rPr/>
      </w:pPr>
      <w:r>
        <w:rPr>
          <w:rFonts w:ascii="Times New Roman;serif" w:hAnsi="Times New Roman;serif"/>
          <w:b w:val="false"/>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Our website address is </w:t>
      </w:r>
      <w:r>
        <w:rPr>
          <w:rFonts w:ascii="Times New Roman;serif" w:hAnsi="Times New Roman;serif"/>
          <w:b w:val="false"/>
          <w:i/>
          <w:color w:val="000000"/>
          <w:sz w:val="20"/>
        </w:rPr>
        <w:t>www.lifecore.com</w:t>
      </w:r>
      <w:r>
        <w:rPr>
          <w:rFonts w:ascii="Times New Roman;serif" w:hAnsi="Times New Roman;serif"/>
          <w:b w:val="false"/>
          <w:color w:val="000000"/>
          <w:sz w:val="20"/>
        </w:rPr>
        <w:t>. The information on our website, however, is not, and should not be deemed to be, a part of or incorporated by reference into this 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any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incorporate by reference the documents set forth below that have previously been filed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Annual Report on Form 10-K for the fiscal year ended May 25, 2025, filed with the SEC on </w:t>
      </w:r>
      <w:hyperlink r:id="rId3">
        <w:r>
          <w:rPr>
            <w:rStyle w:val="InternetLink"/>
            <w:rFonts w:ascii="Times New Roman;serif" w:hAnsi="Times New Roman;serif"/>
            <w:b w:val="false"/>
            <w:color w:val="0000FF"/>
            <w:sz w:val="20"/>
            <w:u w:val="single"/>
          </w:rPr>
          <w:t>August 7,</w:t>
        </w:r>
      </w:hyperlink>
      <w:hyperlink r:id="rId4">
        <w:r>
          <w:rPr>
            <w:rStyle w:val="InternetLink"/>
            <w:strike w:val="false"/>
            <w:dstrike w:val="false"/>
            <w:color w:val="0000FF"/>
            <w:u w:val="none"/>
            <w:effect w:val="none"/>
          </w:rPr>
          <w:t xml:space="preserve"> </w:t>
        </w:r>
      </w:hyperlink>
      <w:hyperlink r:id="rId5">
        <w:r>
          <w:rPr>
            <w:rStyle w:val="InternetLink"/>
            <w:rFonts w:ascii="Times New Roman;serif" w:hAnsi="Times New Roman;serif"/>
            <w:b w:val="false"/>
            <w:color w:val="0000FF"/>
            <w:sz w:val="20"/>
            <w:u w:val="single"/>
          </w:rPr>
          <w:t>2025</w:t>
        </w:r>
      </w:hyperlink>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information specifically incorporated by reference into our Annual Report on Form 10-K for the fiscal year ended May 25, 2025 from our Definitive Proxy Statement on Schedule 14A, filed with the SEC on </w:t>
      </w:r>
      <w:hyperlink r:id="rId6">
        <w:r>
          <w:rPr>
            <w:rStyle w:val="InternetLink"/>
          </w:rPr>
          <w:t xml:space="preserve">September </w:t>
        </w:r>
      </w:hyperlink>
      <w:hyperlink r:id="rId7">
        <w:r>
          <w:rPr>
            <w:rStyle w:val="InternetLink"/>
          </w:rPr>
          <w:t>18</w:t>
        </w:r>
      </w:hyperlink>
      <w:hyperlink r:id="rId8">
        <w:r>
          <w:rPr>
            <w:rStyle w:val="InternetLink"/>
          </w:rPr>
          <w:t>, 2025</w:t>
        </w:r>
      </w:hyperlink>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Current Reports on Form 8-K, filed with the SEC on </w:t>
      </w:r>
      <w:hyperlink r:id="rId9">
        <w:r>
          <w:rPr>
            <w:rStyle w:val="InternetLink"/>
          </w:rPr>
          <w:t>July</w:t>
        </w:r>
      </w:hyperlink>
      <w:hyperlink r:id="rId10">
        <w:r>
          <w:rPr>
            <w:rStyle w:val="InternetLink"/>
          </w:rPr>
          <w:t xml:space="preserve"> 18, 2025</w:t>
        </w:r>
      </w:hyperlink>
      <w:r>
        <w:rPr>
          <w:color w:val="000000"/>
        </w:rPr>
        <w:t xml:space="preserve"> </w:t>
      </w:r>
      <w:r>
        <w:rPr>
          <w:rFonts w:ascii="Times New Roman;serif" w:hAnsi="Times New Roman;serif"/>
          <w:b w:val="false"/>
          <w:color w:val="000000"/>
          <w:sz w:val="20"/>
        </w:rPr>
        <w:t xml:space="preserve">and </w:t>
      </w:r>
      <w:hyperlink r:id="rId11">
        <w:r>
          <w:rPr>
            <w:rStyle w:val="InternetLink"/>
            <w:rFonts w:ascii="Times New Roman;serif" w:hAnsi="Times New Roman;serif"/>
            <w:b w:val="false"/>
            <w:color w:val="0000FF"/>
            <w:sz w:val="20"/>
            <w:u w:val="single"/>
          </w:rPr>
          <w:t>August 18, 2025</w:t>
        </w:r>
      </w:hyperlink>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description of our securities registered pursuant to Section 12 of the Exchange Act contained in </w:t>
      </w:r>
      <w:hyperlink r:id="rId12">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to our Annual Report on Form 10-K for the fiscal year ended May 25, 2025 filed with the SEC on August 7, 2025, as updated by any amendment or report filed for the purpose of updating such description, including the section of this prospectus titled “Description of Capital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18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You may request a free copy of any of the documents incorporated by reference in this prospectus by writing or telephoning us at the following address: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Lifecore Biomedical,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3515 Lyman Boulevard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Chaska, Minnesota 55318</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(952) 368-4300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 fully integrated contract development and manufacturing organization that offers highly differentiated clinical and commercial capabilities in the development, cGMP manufacturing and aseptic filling of complex formulations and highly viscous sterile injectable pharmaceutical drug or medical device products in syringes, vials and cartridges, across a wide variety of modalities. We have become a leading U.S. manufacturer of pharmaceutical-grade, non-animal-sourced hyaluronic acid (“HA”) using our proprietary, fermentation-based HA process that we developed in 1981. We manufacture HA in bulk form as well as for use in formulated and filled syringes and vials for our customers’ injectable products used in treating a broad spectrum of medical conditions and procedures, including ophthalmic and orthopedic applications. We have leveraged this expertise in HA fermentation, manufacturing and aseptic formulation and filling to also develop highly viscous non-HA-based sterile injectable products with our customers for multiple applications.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were incorporated in California on October 31, 1986 and reincorporated as a Delaware corporation on November 6, 2008. Our common stock is listed on The Nasdaq Global Select Market under the symbol “LFCR.” Our principal executive offices are located at 3515 Lyman Boulevard, Chaska, Minnesota 55318 and our telephone number is (952) 368-4300.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“Special Note Regarding Forward-Looking Statements” included in this prospectus, and any comparable section included in any applicable prospectus supplement and in the documents incorporated by reference herein and there.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the securities as set forth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bylaws and certificate of designations, copies of which are filed as exhibits to the registration statement of which this prospectus is a part and are incorporated by reference herein.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consists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75,000,000 shares of common stock, $0.001 par value;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2,000,000 shares of preferred stock, $0.001 par value (of which 120,000 shares are designated as shares of Series A Convertible Preferred Stock).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our common stock are entitled to one vote for each share held on all matters submitted to a vote of stockholders and do not have cumulative voting rights. In any election of directors, a director nominee shall be elected if the votes cast for such nominee’s election exceed the votes cast against such nominee’s election (with abstentions not counted as a vote cast either for or against that nominee’s election) by the stockholders entitled to vote on the election. Any director or our entire board of directors (the “Board”) may be removed, with or without cause, and any vacancies on the Board may be filled by the holders of a majority of the shares then entitled to vote at an election of directors. Amendments to our bylaws may be adopted by the affirmative vote of a majority in voting power of all of the then-outstanding shares of our voting stock entitled to vote. All other matters shall be decided by the affirmative vote of a majority in voting power of the votes cast affirmatively or negatively (excluding abstentions) at a meeting by the holders entitled to vote thereon.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common stock are entitled to receive proportionately any dividends as may be declared by our Board, subject to any preferential dividend rights of outstanding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event of our liquidation, dissolution or winding up, the holders of our common stock are entitled to receive proportionately our net assets available after the payment of all debts and other liabilities and subject to the prior rights of any outstanding preferred stock.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our certificate of incorporation, our Board is authorized to direct us to issue shares of preferred stock in one or more series without stockholder approval. Our Board has the discretion to determine the rights, preferences, privileges and restrictions, including voting rights, dividend rights, conversion rights, redemption privileges and liquidation preferences of each series of preferred stock. We have designated one series of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purpose of authorizing our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preferred stock of each series will rank senior to the common stock in priority of payment of dividends and in the distribution of assets in the event of our liquidation, dissolution or winding up, to the extent of the preferential amounts to which the preferred stock of the respective series will be entitled. Upon issuance, the shares of preferred stock will be fully paid and nonassessable, which means that its holders will have paid their purchase price in full and we may not require them to pay additional funds.</w:t>
      </w:r>
    </w:p>
    <w:p>
      <w:pPr>
        <w:pStyle w:val="TextBody"/>
        <w:bidi w:val="0"/>
        <w:spacing w:before="0" w:after="18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A Convertible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9, 2023, we entered into a Securities Purchase Agreement (the “Purchase Agreement”) with the investors named therein. Pursuant to the Purchase Agreement, we issued and sold an aggregate of 38,750 shares of the Series A Convertible Preferred Stock, par value $0.001 per share (the “Convertible Preferred Stock”), to the purchasers for an aggregate purchase price of $38.75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share of Convertible Preferred Stock has the powers, designations, preferences and other rights as are set forth in the Certificate of Designations of the Series A Preferred Stock filed with the Delaware Secretary of State on January 9, 2023 (the “Certificate of Designations”).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Convertible Preferred Stock ranks senior to our common stock with respect to dividends, distributions and payments on liquidation, winding-up and dissolution.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a liquidation, dissolution, winding up or change of control of us, each share of Convertible Preferred Stock will be entitled to receive an amount per share of Convertible Preferred Stock equal to the greater of (i) the purchase price paid by the purchaser at issuance, plus all accrued and unpaid dividends (the “Liquidation Preference”) and (ii) the amount that the holder of Convertible Preferred Stock (each, a “Holder” and collectively, the “Holders”) would have been entitled to receive at such time if the Convertible Preferred Stock had been converted into common stock immediately prior to such liquidation event.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Holders will be entitled to dividends on the Liquidation Preference at the rate of 7.5% per annum, payable in-kind (“PIK”). The Company may, at its option, pay such dividends in cash from and after the earlier of June 29, 2026, or the termination or waiver of the restriction on cash dividends and/or redemptions that is set forth in the Credit Agreements (as defined in the Certificate of Designations) (such earlier date, the “Applicable Date”). The Holders are also entitled to participate in dividends declared or paid on the common stock on an as-converted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certain bankruptcy events, we are required to pay to each Holder an amount in cash equal to the Liquidation Preference being redeemed. From and after the Applicable Date, each Holder shall have the right to require us to redeem all or any part of such Holder’s Convertible Preferred Stock for an amount equal to the Liquidation Preference.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Holder has the right, at its option, to convert its Convertible Preferred Stock, in whole or in part, into fully paid and non-assessable shares of common stock at an initial conversion price equal to $7.00 per share. The conversion price is subject to customary anti-dilution adjustments, including in the event of any stock split, stock dividend, recapitalization or similar events, and is also subject to adjustment in the event of subsequent offerings of common stock or convertible securities by us for less than the conversion price. On October 3, 2024, we completed the sale of an aggregate of 5,928,775 shares of our common stock in a private placement at a purchase price of $4.10 per share, for aggregate gross proceeds of approximately $24.3 million (the “PIPE Offering”). As a result of the PIPE Offering, the conversion price was automatically adjusted to approximately $6.53 per share. Subject to certain exceptions and waiver by each Holder, we will not issue any shares of common stock to any respective Holder to the extent that such issuance of common stock would result in such Holder beneficially owning in excess of 9.99% of the then-outstanding common stock (the “Beneficial Ownership Cap”).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Subject to certain conditions, we may from time to time, at our option, require conversion of all or any portion of the outstanding shares of Convertible Preferred Stock to common stock if, for at least 20 consecutive trading days during the respective measuring period the closing price of the common stock was at least 150% of the initial conversion price, as adjusted for any stock dividend, stock split, stock combination, reclassification or similar transaction. We may not exercise our right to mandatorily convert outstanding shares of Convertible Preferred Stock unless certain conditions with regard to the shares of common stock to be issued upon such conversion are satisfied.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Holders are generally entitled to vote with the holders of the shares of common stock on all matters submitted for a vote of holders of shares of common stock (voting together with the holders of shares of common stock as one class) on an as-converted basis, subject to the Beneficial Ownership Cap.</w:t>
      </w:r>
    </w:p>
    <w:p>
      <w:pPr>
        <w:pStyle w:val="TextBody"/>
        <w:bidi w:val="0"/>
        <w:spacing w:before="0" w:after="18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for so long as 30% of the shares of Convertible Preferred Stock issued in the Preferred Stock Private Placement remain outstanding, certain matters will require the approval of the majority of the outstanding Convertible Preferred Stock, voting as a separate class, including (i) amending, altering or repealing any provision of the Certificate of Designations; (ii) amending, altering or repealing any provision of our certificate of incorporation or bylaws, in each case, in a manner that adversely affects the powers, preferences or rights of the Convertible Preferred Stock; (iii) increasing or decreasing the authorized number of shares of Convertible Preferred Stock (except to provide for the issuance of PIK dividends); (iv) creating (including by reclassification), issuing shares of or increasing the authorized number of shares of any additional class or series of our capital stock unless such class or series rank junior to the Convertible Preferred Stock and are issued at fair market value; (v) purchasing or redeeming or paying, declaring or setting aside any fund for, any dividend or distribution on, any common stock or other Junior Stock (as defined in the Certificate of Designations), other than purchases of our equity securities upon the termination of an employee of us or any of our subsidiaries in accordance with the terms of such employee’s employment agreement or any equity incentive or similar plan approved by the Board; or (vi) creating, incurring, granting, entering into, permitting, assuming or allowing, directly or indirectly, (a) any indebtedness by us (or any of our subsidiaries), excluding equity securities and non-convertible preferred stock (but including convertible debt), at any time when, or as a result of which, the principal amount of our total outstanding and available indebtedness exceeds $175,000,000, or (b) any lien, charge or other encumbrance on all or substantially all of our (or any of our subsidiaries’) properties or assets.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Anti-Takeover Effects of Delaware Law and Our Charter and Bylaws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our certificate of incorporation, we elect not to be subject to Section 203 of the General Corporation Law of the State of Delaware.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any action required or permitted to be taken by our stockholders at an annual meeting or special meeting of stockholders may only be taken if it is properly brought before such meeting and may not be taken by written action in lieu of a meeting. Our bylaws provide that special meetings of the stockholders can be called by the Board, the Chairman of the Board, the president or by one or more stockholders holding shares in the aggregate entitled to cast not less than 10% of the votes at that meeting. In addition, our bylaws establish an advance notice procedure for stockholder proposals to be brought before an annual meeting of stockholders, including proposed nominations of candidates for election to our Board. Stockholders at an annual meeting may only consider proposals or nominations specified in the notice of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certain stockholder actions until the next stockholder meeting.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A Convertible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a liquidation, dissolution, winding up or change of control of us, Holders of Convertible Preferred Stock would have the right to an amount per share of Convertible Preferred Stock equal to the greater of (i) the Liquidation Preference and (ii) the amount that the Holder would have been entitled to receive at such time if the Convertible Preferred Stock had been converted into Common Stock immediately prior to such liquidation event. The Holders will also be entitled to dividends on the Liquidation Preference at the rate of 7.5% per annum, PIK. The potential need to redeem the Convertible Preferred Stock at a significant premium could result in an anti-takeover effect. In addition, conversion of the Convertible Preferred Stock could dilute the stock ownership or voting rights of persons seeking to obtain control of us and thereby have the effect of making it more difficult to remove directors or </w:t>
      </w:r>
    </w:p>
    <w:p>
      <w:pPr>
        <w:pStyle w:val="TextBody"/>
        <w:bidi w:val="0"/>
        <w:spacing w:before="0" w:after="18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members of management by diluting the stock ownership or voting rights of persons seeking to effect such a removal.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certain matters will require the approval of the majority of the outstanding Convertible Preferred Stock, voting as a separate class. Accordingly, the Convertible Preferred Stock may render more difficult or discourage a merger, tender offer or proxy contest, the assumption of control by a holder of a large block of Common Stock, or the replacement or removal of a member of the Board or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issue warrants for the purchase of shares of our common stock.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the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particular terms of any issue of warrants will be described in the prospectus supplement relating to the issue. Those terms may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number of shares of common stock purchasable upon the exercise of warrants to purchase such shares and the price at which such number of shares may be purchased upon such exercise;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date, if any, on and after which the warrants and the related common stock will be separately transferable;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terms of any rights to redeem or call the warrants;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date on which the right to exercise the warrants will commence and the date on which the right will expire;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United States Federal income tax consequences applicable to the warrants;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additional terms of the warrants, including terms, procedures, and limitations relating to the exchange, exercise and settlement of the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equity warrants will not be entitled: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vote, consent or receive dividends;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receive notice as stockholders with respect to any meeting of stockholders for the election of our directors or any other matter;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exercise any rights as stockholders of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warrant will entitle its holder to purchase the number of shares of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common stock are exercised, the holders of the warrants will not have any rights of holders of the underlying common stock, including any rights to receive dividends or payments upon any liquidation, dissolution or winding up on the common stock,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sell the securities from time to time pursuant to underwritten public offerings, negotiated transactions, block trades or through underwriters or dealers, through agents and/or directly to one or more purchasers, or a combination of these methods. The securities may be distributed from time to time in one or more transactions: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to the extent appropriate.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compensation paid to underwriters, dealers or agents in connection with the offering of the securities, and any discounts, concessions or commissions allowed by underwriters to participating dealers will be provided in the applicable prospectus supplement, to the extent appropriate.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w:t>
      </w:r>
    </w:p>
    <w:p>
      <w:pPr>
        <w:pStyle w:val="TextBody"/>
        <w:bidi w:val="0"/>
        <w:spacing w:before="0" w:after="18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material terms of any lock-up provisions in respect of any given offering will be described in the applicable prospectus supplement.</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underwriters, dealers and agents may engage in transactions with us, or perform services for us, in the ordinary course of business for which they receive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Latham &amp; Watkins LLP will pass upon certain legal matters relating to the issuance and sale of the securities offered hereby on behalf of Lifecore Biomedical, Inc. Additional legal matters may be passed upon for us 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Lifecore Biomedical, Inc. (the Company) as of May 25, 2025 and May 26, 2024 and for each of the two years in the period ended May 25, 2025 and management's assessment of the effectiveness of internal control over financial reporting as of May 25, 2025 incorporated by reference in this Prospectus and in the Registration Statement have been so incorporated in reliance on the reports of BDO USA, P.C., an independent registered public accounting firm, given on the authority of said firm as experts in auditing and accounting. The report on the effectiveness of internal control over financial reporting expresses an adverse opinion on the effectiveness of the Company's internal control over financial reporting as of May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DE1A1E"/>
          <w:sz w:val="20"/>
          <w:shd w:fill="FFFFFF" w:val="clear"/>
        </w:rPr>
      </w:pPr>
      <w:r>
        <w:rPr>
          <w:rFonts w:ascii="Times New Roman;serif" w:hAnsi="Times New Roman;serif"/>
          <w:b/>
          <w:color w:val="DE1A1E"/>
          <w:sz w:val="20"/>
          <w:shd w:fill="FFFFFF" w:val="clear"/>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lineRule="auto" w:line="288" w:before="0" w:after="180"/>
        <w:jc w:val="center"/>
        <w:rPr/>
      </w:pPr>
      <w:r>
        <w:rPr>
          <w:rFonts w:ascii="Times New Roman;serif" w:hAnsi="Times New Roman;serif"/>
          <w:b/>
          <w:color w:val="DE1A1E"/>
          <w:sz w:val="20"/>
          <w:shd w:fill="FFFFFF" w:val="clear"/>
        </w:rPr>
        <w:t xml:space="preserve">Subject to Completion, dated </w:t>
      </w:r>
      <w:r>
        <w:rPr>
          <w:rFonts w:ascii="Times New Roman;serif" w:hAnsi="Times New Roman;serif"/>
          <w:b/>
          <w:color w:val="DE1A1E"/>
          <w:sz w:val="20"/>
        </w:rPr>
        <w:t>September 22,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2743200" cy="733425"/>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13"/>
                    <a:stretch>
                      <a:fillRect/>
                    </a:stretch>
                  </pic:blipFill>
                  <pic:spPr bwMode="auto">
                    <a:xfrm>
                      <a:off x="0" y="0"/>
                      <a:ext cx="2743200" cy="733425"/>
                    </a:xfrm>
                    <a:prstGeom prst="rect">
                      <a:avLst/>
                    </a:prstGeom>
                  </pic:spPr>
                </pic:pic>
              </a:graphicData>
            </a:graphic>
          </wp:inline>
        </w:drawing>
      </w:r>
    </w:p>
    <w:p>
      <w:pPr>
        <w:pStyle w:val="TextBody"/>
        <w:bidi w:val="0"/>
        <w:spacing w:lineRule="auto" w:line="288" w:before="0" w:after="200"/>
        <w:jc w:val="center"/>
        <w:rPr>
          <w:rFonts w:ascii="Times New Roman;serif" w:hAnsi="Times New Roman;serif"/>
          <w:b/>
          <w:color w:val="000000"/>
          <w:sz w:val="28"/>
        </w:rPr>
      </w:pPr>
      <w:r>
        <w:rPr>
          <w:rFonts w:ascii="Times New Roman;serif" w:hAnsi="Times New Roman;serif"/>
          <w:b/>
          <w:color w:val="000000"/>
          <w:sz w:val="28"/>
        </w:rPr>
        <w:t>20,456,637 Shares of Common Stock</w:t>
      </w:r>
    </w:p>
    <w:p>
      <w:pPr>
        <w:pStyle w:val="TextBody"/>
        <w:bidi w:val="0"/>
        <w:spacing w:lineRule="auto" w:line="288" w:before="0" w:after="180"/>
        <w:jc w:val="both"/>
        <w:rPr/>
      </w:pPr>
      <w:r>
        <w:rPr>
          <w:rFonts w:ascii="Times New Roman;serif" w:hAnsi="Times New Roman;serif"/>
          <w:b w:val="false"/>
          <w:color w:val="000000"/>
          <w:sz w:val="20"/>
        </w:rPr>
        <w:t xml:space="preserve">This prospectus relates to the resale by the selling stockholders named herein or their permitted transferees (the “Selling Stockholders”) of up to 20,456,637 shares (the “Resale Shares”) of our common stock, par value $0.001 per share (the “common stock”), including (i) 6,556,521 issued and outstanding shares of common stock and (ii) 13,900,116 shares of common stock issuable upon the conversion of shares of Series A Convertible Preferred Stock (the “Convertible Preferred Stock”) held by certain of the Selling Stockholders. We are registering the shares for resale pursuant to such stockholders’ registration rights with respect to the Resale Shares. For additional information, see “Prospectus Summary-Private Placements” beginning on page </w:t>
      </w:r>
      <w:hyperlink w:anchor="i19c7df6d624e4f55bd835299b1ddb3bb_54">
        <w:r>
          <w:rPr>
            <w:rStyle w:val="InternetLink"/>
            <w:rFonts w:ascii="Times New Roman;serif" w:hAnsi="Times New Roman;serif"/>
            <w:b w:val="false"/>
            <w:strike w:val="false"/>
            <w:dstrike w:val="false"/>
            <w:color w:val="000000"/>
            <w:sz w:val="20"/>
            <w:u w:val="none"/>
            <w:effect w:val="none"/>
          </w:rPr>
          <w:t>3</w:t>
        </w:r>
      </w:hyperlink>
      <w:r>
        <w:rPr>
          <w:rFonts w:ascii="Times New Roman;serif" w:hAnsi="Times New Roman;serif"/>
          <w:b w:val="false"/>
          <w:color w:val="000000"/>
          <w:sz w:val="20"/>
        </w:rPr>
        <w:t xml:space="preserve"> of this prospectus.</w:t>
      </w:r>
    </w:p>
    <w:p>
      <w:pPr>
        <w:pStyle w:val="TextBody"/>
        <w:bidi w:val="0"/>
        <w:spacing w:lineRule="auto" w:line="288" w:before="0" w:after="180"/>
        <w:jc w:val="both"/>
        <w:rPr/>
      </w:pPr>
      <w:r>
        <w:rPr>
          <w:rFonts w:ascii="Times New Roman;serif" w:hAnsi="Times New Roman;serif"/>
          <w:b w:val="false"/>
          <w:color w:val="000000"/>
          <w:sz w:val="20"/>
        </w:rPr>
        <w:t xml:space="preserve">Subject to any applicable contractual restrictions, the Selling Stockholders may offer, sell or distribute all or a portion of their shares of our common stock publicly or through private transactions at prevailing market prices or at negotiated prices. For additional information, see “Plan of Distribution” beginning on page </w:t>
      </w:r>
      <w:hyperlink w:anchor="i19c7df6d624e4f55bd835299b1ddb3bb_761">
        <w:r>
          <w:rPr>
            <w:rStyle w:val="InternetLink"/>
            <w:rFonts w:ascii="Times New Roman;serif" w:hAnsi="Times New Roman;serif"/>
            <w:b w:val="false"/>
            <w:strike w:val="false"/>
            <w:dstrike w:val="false"/>
            <w:color w:val="000000"/>
            <w:sz w:val="20"/>
            <w:u w:val="none"/>
            <w:effect w:val="none"/>
          </w:rPr>
          <w:t>17</w:t>
        </w:r>
      </w:hyperlink>
      <w:r>
        <w:rPr>
          <w:rFonts w:ascii="Times New Roman;serif" w:hAnsi="Times New Roman;serif"/>
          <w:b w:val="false"/>
          <w:color w:val="000000"/>
          <w:sz w:val="20"/>
        </w:rPr>
        <w:t xml:space="preserve"> of this prospectus. The Selling Stockholders may sell some, all or none of the shares being offered for resale in this offering.</w:t>
      </w:r>
    </w:p>
    <w:p>
      <w:pPr>
        <w:pStyle w:val="TextBody"/>
        <w:bidi w:val="0"/>
        <w:spacing w:lineRule="auto" w:line="288" w:before="0" w:after="180"/>
        <w:jc w:val="both"/>
        <w:rPr/>
      </w:pPr>
      <w:r>
        <w:rPr>
          <w:rFonts w:ascii="Times New Roman;serif" w:hAnsi="Times New Roman;serif"/>
          <w:b w:val="false"/>
          <w:color w:val="000000"/>
          <w:sz w:val="20"/>
        </w:rPr>
        <w:t xml:space="preserve">We are not selling any shares of our common stock under this prospectus and will not receive any of the proceeds from the sale of the shares of our common stock owned by the Selling Stockholders. For additional information, see “Use of Proceeds” beginning on page </w:t>
      </w:r>
      <w:hyperlink w:anchor="i19c7df6d624e4f55bd835299b1ddb3bb_698">
        <w:r>
          <w:rPr>
            <w:rStyle w:val="InternetLink"/>
            <w:rFonts w:ascii="Times New Roman;serif" w:hAnsi="Times New Roman;serif"/>
            <w:b w:val="false"/>
            <w:strike w:val="false"/>
            <w:dstrike w:val="false"/>
            <w:color w:val="000000"/>
            <w:sz w:val="20"/>
            <w:u w:val="none"/>
            <w:effect w:val="none"/>
          </w:rPr>
          <w:t>8</w:t>
        </w:r>
      </w:hyperlink>
      <w:r>
        <w:rPr>
          <w:rFonts w:ascii="Times New Roman;serif" w:hAnsi="Times New Roman;serif"/>
          <w:b w:val="false"/>
          <w:color w:val="000000"/>
          <w:sz w:val="20"/>
        </w:rPr>
        <w:t xml:space="preserve"> of this prospectus and “Selling Stockholders” beginning on page </w:t>
      </w:r>
      <w:hyperlink w:anchor="i19c7df6d624e4f55bd835299b1ddb3bb_719">
        <w:r>
          <w:rPr>
            <w:rStyle w:val="InternetLink"/>
            <w:rFonts w:ascii="Times New Roman;serif" w:hAnsi="Times New Roman;serif"/>
            <w:b w:val="false"/>
            <w:strike w:val="false"/>
            <w:dstrike w:val="false"/>
            <w:color w:val="000000"/>
            <w:sz w:val="20"/>
            <w:u w:val="none"/>
            <w:effect w:val="none"/>
          </w:rPr>
          <w:t>9</w:t>
        </w:r>
      </w:hyperlink>
      <w:r>
        <w:rPr>
          <w:rFonts w:ascii="Times New Roman;serif" w:hAnsi="Times New Roman;serif"/>
          <w:b w:val="false"/>
          <w:color w:val="000000"/>
          <w:sz w:val="20"/>
        </w:rPr>
        <w:t xml:space="preserve"> of this 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will bear all costs, expenses and fees in connection with the registration of these shares of our common stock, including with regard to compliance with state securities or “blue sky” laws. The Selling Stockholders will bear all commissions and discounts, if any, attributable to their sale of shares of our common stock. We have agreed to reimburse the Selling Stockholders for up to $105,000 of their expenses in connection with the registration of these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for purposes of federal securities laws and are subject to reduced public company reporting requirements. Accordingly, the information in this prospectus may not be comparable to information provided by companies that are not smaller reporting companies.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tier of The Nasdaq Stock Market LLC under the symbol “LFCR.” On September 19, 2025, the last reported sale price of our common stock was $7.87.</w:t>
      </w:r>
    </w:p>
    <w:p>
      <w:pPr>
        <w:pStyle w:val="TextBody"/>
        <w:bidi w:val="0"/>
        <w:spacing w:lineRule="auto" w:line="288" w:before="0" w:after="180"/>
        <w:jc w:val="both"/>
        <w:rPr/>
      </w:pPr>
      <w:r>
        <w:rPr>
          <w:rFonts w:ascii="Times New Roman;serif" w:hAnsi="Times New Roman;serif"/>
          <w:b/>
          <w:color w:val="000000"/>
          <w:sz w:val="20"/>
        </w:rPr>
        <w:t>INVESTING IN OUR SECURITIES INVOLVES RISKS. SEE “</w:t>
      </w:r>
      <w:hyperlink w:anchor="i19c7df6d624e4f55bd835299b1ddb3bb_57">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BEGINNING ON PAGE </w:t>
      </w:r>
      <w:hyperlink w:anchor="i19c7df6d624e4f55bd835299b1ddb3bb_57">
        <w:r>
          <w:rPr>
            <w:rStyle w:val="InternetLink"/>
            <w:rFonts w:ascii="Times New Roman;serif" w:hAnsi="Times New Roman;serif"/>
            <w:b/>
            <w:strike w:val="false"/>
            <w:dstrike w:val="false"/>
            <w:color w:val="000000"/>
            <w:sz w:val="20"/>
            <w:u w:val="none"/>
            <w:effect w:val="none"/>
          </w:rPr>
          <w:t>6</w:t>
        </w:r>
      </w:hyperlink>
      <w:r>
        <w:rPr>
          <w:rFonts w:ascii="Times New Roman;serif" w:hAnsi="Times New Roman;serif"/>
          <w:b/>
          <w:color w:val="000000"/>
          <w:sz w:val="20"/>
        </w:rPr>
        <w:t xml:space="preserve"> OF THIS PROSPECTUS AND IN ANY PROSPECTUS SUPPLEMENT OR SIMILAR SECTION CONTAINED IN THE DOCUMENTS INCORPORATED BY REFERENCE INTO THIS PROSPECTUS.</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lineRule="auto" w:line="288" w:before="0" w:after="180"/>
        <w:jc w:val="center"/>
        <w:rPr/>
      </w:pPr>
      <w:r>
        <w:rPr>
          <w:rFonts w:ascii="Times New Roman;serif" w:hAnsi="Times New Roman;serif"/>
          <w:b/>
          <w:color w:val="000000"/>
          <w:sz w:val="20"/>
        </w:rPr>
        <w:t>The date of this prospectus i</w:t>
      </w:r>
      <w:r>
        <w:rPr>
          <w:rFonts w:ascii="Times New Roman;serif" w:hAnsi="Times New Roman;serif"/>
          <w:b w:val="false"/>
          <w:color w:val="000000"/>
          <w:sz w:val="20"/>
        </w:rPr>
        <w:t>s</w:t>
      </w:r>
      <w:r>
        <w:rPr>
          <w:color w:val="000000"/>
        </w:rPr>
        <w:t xml:space="preserve"> </w:t>
      </w:r>
      <w:r>
        <w:rPr>
          <w:rFonts w:ascii="Times New Roman;serif" w:hAnsi="Times New Roman;serif"/>
          <w:b/>
          <w:color w:val="000000"/>
          <w:sz w:val="20"/>
        </w:rPr>
        <w:t>,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707" w:type="dxa"/>
        <w:jc w:val="left"/>
        <w:tblInd w:w="0" w:type="dxa"/>
        <w:tblLayout w:type="fixed"/>
        <w:tblCellMar>
          <w:top w:w="28" w:type="dxa"/>
          <w:left w:w="28" w:type="dxa"/>
          <w:bottom w:w="28" w:type="dxa"/>
          <w:right w:w="28" w:type="dxa"/>
        </w:tblCellMar>
      </w:tblPr>
      <w:tblGrid>
        <w:gridCol w:w="2656"/>
        <w:gridCol w:w="2337"/>
        <w:gridCol w:w="2342"/>
        <w:gridCol w:w="109"/>
        <w:gridCol w:w="109"/>
        <w:gridCol w:w="154"/>
      </w:tblGrid>
      <w:tr>
        <w:trPr/>
        <w:tc>
          <w:tcPr>
            <w:tcW w:w="2656"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627">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627">
              <w:r>
                <w:rPr>
                  <w:rStyle w:val="InternetLink"/>
                  <w:rFonts w:ascii="Times New Roman;serif" w:hAnsi="Times New Roman;serif"/>
                  <w:b w:val="false"/>
                  <w:color w:val="0000FF"/>
                  <w:sz w:val="20"/>
                  <w:u w:val="single"/>
                </w:rPr>
                <w:t>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649">
              <w:r>
                <w:rPr>
                  <w:rStyle w:val="InternetLink"/>
                  <w:rFonts w:ascii="Times New Roman;serif" w:hAnsi="Times New Roman;serif"/>
                  <w:b w:val="false"/>
                  <w:color w:val="0000FF"/>
                  <w:sz w:val="20"/>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649">
              <w:r>
                <w:rPr>
                  <w:rStyle w:val="InternetLink"/>
                  <w:rFonts w:ascii="Times New Roman;serif" w:hAnsi="Times New Roman;serif"/>
                  <w:b w:val="false"/>
                  <w:color w:val="0000FF"/>
                  <w:sz w:val="20"/>
                  <w:u w:val="single"/>
                </w:rPr>
                <w:t>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54">
              <w:r>
                <w:rPr>
                  <w:rStyle w:val="InternetLink"/>
                  <w:rFonts w:ascii="Times New Roman;serif" w:hAnsi="Times New Roman;serif"/>
                  <w:b w:val="false"/>
                  <w:color w:val="0000FF"/>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54">
              <w:r>
                <w:rPr>
                  <w:rStyle w:val="InternetLink"/>
                  <w:rFonts w:ascii="Times New Roman;serif" w:hAnsi="Times New Roman;serif"/>
                  <w:b w:val="false"/>
                  <w:color w:val="0000FF"/>
                  <w:sz w:val="20"/>
                  <w:u w:val="single"/>
                </w:rPr>
                <w:t>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670">
              <w:r>
                <w:rPr>
                  <w:rStyle w:val="InternetLink"/>
                  <w:rFonts w:ascii="Times New Roman;serif" w:hAnsi="Times New Roman;serif"/>
                  <w:b w:val="false"/>
                  <w:color w:val="0000FF"/>
                  <w:sz w:val="20"/>
                  <w:u w:val="single"/>
                </w:rPr>
                <w:t>THE OFFERING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670">
              <w:r>
                <w:rPr>
                  <w:rStyle w:val="InternetLink"/>
                  <w:rFonts w:ascii="Times New Roman;serif" w:hAnsi="Times New Roman;serif"/>
                  <w:b w:val="false"/>
                  <w:color w:val="0000FF"/>
                  <w:sz w:val="20"/>
                  <w:u w:val="single"/>
                </w:rPr>
                <w:t>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57">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57">
              <w:r>
                <w:rPr>
                  <w:rStyle w:val="InternetLink"/>
                  <w:rFonts w:ascii="Times New Roman;serif" w:hAnsi="Times New Roman;serif"/>
                  <w:b w:val="false"/>
                  <w:color w:val="0000FF"/>
                  <w:sz w:val="20"/>
                  <w:u w:val="single"/>
                </w:rPr>
                <w:t>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698">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698">
              <w:r>
                <w:rPr>
                  <w:rStyle w:val="InternetLink"/>
                  <w:rFonts w:ascii="Times New Roman;serif" w:hAnsi="Times New Roman;serif"/>
                  <w:b w:val="false"/>
                  <w:color w:val="0000FF"/>
                  <w:sz w:val="20"/>
                  <w:u w:val="single"/>
                </w:rPr>
                <w:t>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719">
              <w:r>
                <w:rPr>
                  <w:rStyle w:val="InternetLink"/>
                  <w:rFonts w:ascii="Times New Roman;serif" w:hAnsi="Times New Roman;serif"/>
                  <w:b w:val="false"/>
                  <w:color w:val="0000FF"/>
                  <w:sz w:val="20"/>
                  <w:u w:val="single"/>
                </w:rPr>
                <w:t>SELLING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719">
              <w:r>
                <w:rPr>
                  <w:rStyle w:val="InternetLink"/>
                  <w:rFonts w:ascii="Times New Roman;serif" w:hAnsi="Times New Roman;serif"/>
                  <w:b w:val="false"/>
                  <w:color w:val="0000FF"/>
                  <w:sz w:val="20"/>
                  <w:u w:val="single"/>
                </w:rPr>
                <w:t>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740">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740">
              <w:r>
                <w:rPr>
                  <w:rStyle w:val="InternetLink"/>
                  <w:rFonts w:ascii="Times New Roman;serif" w:hAnsi="Times New Roman;serif"/>
                  <w:b w:val="false"/>
                  <w:color w:val="0000FF"/>
                  <w:sz w:val="20"/>
                  <w:u w:val="single"/>
                </w:rPr>
                <w:t>13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761">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761">
              <w:r>
                <w:rPr>
                  <w:rStyle w:val="InternetLink"/>
                  <w:rFonts w:ascii="Times New Roman;serif" w:hAnsi="Times New Roman;serif"/>
                  <w:b w:val="false"/>
                  <w:color w:val="0000FF"/>
                  <w:sz w:val="20"/>
                  <w:u w:val="single"/>
                </w:rPr>
                <w:t>17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782">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782">
              <w:r>
                <w:rPr>
                  <w:rStyle w:val="InternetLink"/>
                  <w:rFonts w:ascii="Times New Roman;serif" w:hAnsi="Times New Roman;serif"/>
                  <w:b w:val="false"/>
                  <w:color w:val="0000FF"/>
                  <w:sz w:val="20"/>
                  <w:u w:val="single"/>
                </w:rPr>
                <w:t>20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803">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803">
              <w:r>
                <w:rPr>
                  <w:rStyle w:val="InternetLink"/>
                  <w:rFonts w:ascii="Times New Roman;serif" w:hAnsi="Times New Roman;serif"/>
                  <w:b w:val="false"/>
                  <w:color w:val="0000FF"/>
                  <w:sz w:val="20"/>
                  <w:u w:val="single"/>
                </w:rPr>
                <w:t>20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1179">
              <w:r>
                <w:rPr>
                  <w:rStyle w:val="InternetLink"/>
                  <w:rFonts w:ascii="Times New Roman;serif" w:hAnsi="Times New Roman;serif"/>
                  <w:b w:val="false"/>
                  <w:color w:val="0000FF"/>
                  <w:sz w:val="20"/>
                  <w:u w:val="single"/>
                </w:rPr>
                <w:t>WHERE YOU CAN FIND MORE INFORMATION; 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c7df6d624e4f55bd835299b1ddb3bb_1179">
              <w:r>
                <w:rPr>
                  <w:rStyle w:val="InternetLink"/>
                  <w:rFonts w:ascii="Times New Roman;serif" w:hAnsi="Times New Roman;serif"/>
                  <w:b w:val="false"/>
                  <w:color w:val="0000FF"/>
                  <w:sz w:val="20"/>
                  <w:u w:val="single"/>
                </w:rPr>
                <w:t>21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Unless otherwise stated or the context otherwise requires, the terms “Lifecore,” the “Company,” “we,” “us” and “our” refer to Lifecore Biomedical, Inc. and its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should read this prospectus, the documents incorporated by reference into this prospectus, and any prospectus supplement or free writing prospectus that we may authorize for use in their entirety before making an investment decision. You may read the other reports we file with the Securities and Exchange Commission (the “SEC”) at the SEC’s website at www.sec.gov. See “Incorporation of Information by Reference.” These documents contain important information you should consider when making your investment decision.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should rely only on the information included or incorporated by reference in this prospectus, and any prospectus supplement or free writing prospectus that we may authorize for use. Neither we nor the Selling Stockholders have authorized anyone to provide you with additional or different information. If anyone provides you with additional, different or inconsistent information, you should not rely on 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 data and other statistical information included or incorporated by reference into this prospectus are based on independent industry publications, government publications, reports by market research firms and other published independent sources. Some data is also based on our good faith estimates, which we derive from our review of internal surveys and independent sources. Although we believe these sources are reliable, neither we nor the Selling Stockholders have independently verified the information. Neither we nor the Selling Stockholders guarantee its accuracy or undertake a duty to provide or update such data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prospectus and the documents incorporated by reference into this prospectus may include trademarks, service marks and tradenames owned by us or other companies. All trademarks, service marks and trade names included or incorporated by reference in this prospectus and the documents incorporated by reference into this prospectus are the property of their respective owners.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Neither we nor the Selling Stockholders are making an offer to sell these securities in any jurisdiction where the offer or sale is not permitted.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those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both"/>
        <w:rPr/>
      </w:pPr>
      <w:r>
        <w:rPr>
          <w:rFonts w:ascii="Times New Roman;serif" w:hAnsi="Times New Roman;serif"/>
          <w:b w:val="false"/>
          <w:color w:val="000000"/>
          <w:sz w:val="20"/>
        </w:rPr>
        <w:t xml:space="preserve">This prospectus and </w:t>
      </w:r>
      <w:r>
        <w:rPr>
          <w:rFonts w:ascii="Times New Roman;serif" w:hAnsi="Times New Roman;serif"/>
          <w:b w:val="false"/>
          <w:color w:val="000000"/>
          <w:sz w:val="20"/>
          <w:shd w:fill="FFFFFF" w:val="clear"/>
        </w:rPr>
        <w:t xml:space="preserve">the documents incorporated by reference in this prospectus </w:t>
      </w:r>
      <w:r>
        <w:rPr>
          <w:rFonts w:ascii="Times New Roman;serif" w:hAnsi="Times New Roman;serif"/>
          <w:b w:val="false"/>
          <w:color w:val="000000"/>
          <w:sz w:val="20"/>
        </w:rPr>
        <w:t>contain forward-looking statements, which reflect our current views with respect to, among other things, our operations and financial performance. All statements other than statements of historical facts contained in this prospectus are forward-looking statements, including any statements regarding our strategy, future operations, future financial position, future revenue, projected costs, prospects, plans, objectives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“should,” “expects,” “might,” “plans,” “anticipates,” “could,” “intends,” “target,”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the risks described under the heading “Risk Factors” contained in this prospectus, and under similar headings in other documents that are incorporated by reference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PROSPECTUS SUMMARY</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summary highlights selected information contained in more detail elsewhere in this prospectus and in documents incorporated by reference in this prospectus. This summary is not complete and does not contain all of the information that you should consider before deciding whether to invest in our common stock. For a more complete understanding of the Company, we encourage you to read and consider the more detailed information included or incorporated by reference in this prospectus, including the sections titled “Risk Factors,” “Special Note Regarding Forward-Looking Statements,” and our consolidated financial statements and the accompanying notes thereto incorporated by reference in this prospectus.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 fully integrated contract development and manufacturing organization that offers highly differentiated clinical and commercial capabilities in the development, cGMP manufacturing and aseptic filling of complex formulations and highly viscous sterile injectable pharmaceutical drug or medical device products in syringes, vials and cartridges, across a wide variety of modalities. We have become a leading U.S. manufacturer of pharmaceutical-grade, non-animal-sourced hyaluronic acid (“HA”) using our proprietary, fermentation-based HA process that we developed in 1981. We manufacture HA in bulk form as well as for use in formulated and filled syringes and vials for our customers’ injectable products used in treating a broad spectrum of medical conditions and procedures, including ophthalmic and orthopedic applications. We have leveraged this expertise in HA fermentation, manufacturing and aseptic formulation and filling to also develop highly viscous non-HA-based sterile injectable products with our customers for multiple applications.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Private Placements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2022 Common Stock Private Placement</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On November 25, 2022, we entered into a securities purchase agreement (the “2022 Purchase Agreement”) with certain of the Selling Stockholders, pursuant to which we issued and sold an aggregate of </w:t>
      </w:r>
      <w:r>
        <w:rPr>
          <w:rFonts w:ascii="Times New Roman;serif" w:hAnsi="Times New Roman;serif"/>
          <w:b w:val="false"/>
          <w:color w:val="000000"/>
          <w:sz w:val="20"/>
        </w:rPr>
        <w:t>627,746</w:t>
      </w:r>
      <w:r>
        <w:rPr>
          <w:color w:val="000000"/>
          <w:shd w:fill="FFFFFF" w:val="clear"/>
        </w:rPr>
        <w:t> </w:t>
      </w:r>
      <w:r>
        <w:rPr>
          <w:rFonts w:ascii="Times New Roman;serif" w:hAnsi="Times New Roman;serif"/>
          <w:b w:val="false"/>
          <w:color w:val="000000"/>
          <w:sz w:val="20"/>
          <w:shd w:fill="FFFFFF" w:val="clear"/>
        </w:rPr>
        <w:t>shares (the “2022 Shares”) of our common stock at a purchase price of $7.97 per share, generating gross proceeds of approximately $5.0 million (the “2022 Private Placement”). Pursuant to the 2022 Purchase Agreement, we also granted such Selling Stockholders certain registration rights with respect to the 2022 Shares.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2023 Preferred Stock Private Placement</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On January 9, 2023 (the “Preferred Issuance Date”), we entered into a securities purchase agreement (the “2023 Purchase Agreement”) with certain of the Selling Stockholders, pursuant to which we issued and sold an aggregate of </w:t>
      </w:r>
      <w:r>
        <w:rPr>
          <w:rFonts w:ascii="Times New Roman;serif" w:hAnsi="Times New Roman;serif"/>
          <w:b w:val="false"/>
          <w:color w:val="000000"/>
          <w:sz w:val="20"/>
        </w:rPr>
        <w:t>38,750</w:t>
      </w:r>
      <w:r>
        <w:rPr>
          <w:color w:val="000000"/>
          <w:shd w:fill="FFFFFF" w:val="clear"/>
        </w:rPr>
        <w:t> </w:t>
      </w:r>
      <w:r>
        <w:rPr>
          <w:rFonts w:ascii="Times New Roman;serif" w:hAnsi="Times New Roman;serif"/>
          <w:b w:val="false"/>
          <w:color w:val="000000"/>
          <w:sz w:val="20"/>
          <w:shd w:fill="FFFFFF" w:val="clear"/>
        </w:rPr>
        <w:t>shares of Series A Convertible Preferred Stock, par value $0.001 per share (the “Convertible Preferred Stock”), to certain of the Selling Stockholders for an aggregate purchase price of $38.75 million (the “2023 Private Placement”). The Convertible Preferred Stock has the powers, designations, preferences and other rights as are set forth in the Certificate of Designations of the Series A Preferred Stock filed with the Delaware Secretary of State on the Preferred Issuance Date (the “Certificate of Designations”), including the payment of dividends at a rate of 7.5% per annum, payable in-kind (“PIK”).</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2023 Private Placement, we also entered into a registration rights agreement with certain of the Selling Stockholders, pursuant to which we granted such Selling Stockholders certain registration rights with respect to the shares of common stock issuable upon conversion of the shares of Convertible Preferred Stock (the “Conversion Shares”).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conversion of the Convertible Preferred Stock into Conversion Shares is subject to certain limitations, including that the holders of the Convertible Preferred Stock shall not have the right to receive any Conversion Shares to the extent that (i) the issuance thereof would exceed 19.99% of the amount of common stock outstanding as of the Preferred Issuance Date (the “Exchange Cap”), which is the maximum amount of shares that the Company may issue pursuant to the terms of the Certificate of Designations without breaching the Company’s obligations under the rules and regulations of the Nasdaq Stock Market LLC (“Nasdaq”), or (ii) after giving effect to such issuance, such holder would beneficially own in excess of 9.99% of the shares of common stock outstanding </w:t>
      </w:r>
    </w:p>
    <w:p>
      <w:pPr>
        <w:pStyle w:val="TextBody"/>
        <w:bidi w:val="0"/>
        <w:spacing w:before="0" w:after="18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immediately after giving effect to such issuance, subject to adjustment or waiver by any respective Selling Stockholder (the “Beneficial Ownership Cap”). In April 2025, we held a special meeting of stockholders at which stockholders approved the removal of the Exchange Cap on the issuance of Common Stock underlying the Convertible Preferred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2024 Common Stock Private Placement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3, 2024, we entered into a securities purchase agreement (the “2024 Purchase Agreement”) with certain of the Selling Stockholders, pursuant to which we issued and sold an aggregate of 5,928,775 shares (the “2024 Shares”) of our common stock at a purchase price of $4.10 per share, generating gross proceeds of approximately $24.3 million (the “2024 Private Placement”).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2024 Purchase Agreement, we also granted such Selling Stockholders certain registration rights, pursuant to which we agreed to file a registration statement covering the resale of the 2024 Shares by such holders and to use our reasonable best efforts to cause each such registration statement to become effective and to remain continuously effective until all 2024 Shares (a) have been disposed of in accordance with such registration statement, (b) have been transferred pursuant to Rule 144 under the Securities Act (“Rule 144”), (c) can be immediately sold under Rule 144 without any restrictions on transfer, or (d) have ceased to be outstanding.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Resale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prospectus covers the resale by the Selling Stockholders of up to 20,456,637 shares of our common stock, including (i) 627,746 outstanding shares of common stock issued and sold in the 2022 Private Placement, (ii) 13,900,116 Conversion Shares issuable upon the conversion of shares of Convertible Preferred Stock issued and sold in the 2023 Private Placement, and (iii) 5,928,775 outstanding shares of common stock issued and sold in the 2024 Private Placement.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is no established public trading market for the Convertible Preferred Stock and we do not intend to list the Convertible Preferred Stock on any national securities exchange or nationally recognized trading system.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were incorporated in California on October 31, 1986 and reincorporated as a Delaware corporation on November 6, 2008. Our common stock is listed on The Nasdaq Global Select Market under the symbol “LFCR.” Our principal executive offices are located at 3515 Lyman Boulevard, Chaska, Minnesota 55318 and our telephone number is (952) 368-4300.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THE OFFERING</w:t>
      </w:r>
    </w:p>
    <w:tbl>
      <w:tblPr>
        <w:tblW w:w="10205" w:type="dxa"/>
        <w:jc w:val="left"/>
        <w:tblInd w:w="0" w:type="dxa"/>
        <w:tblLayout w:type="fixed"/>
        <w:tblCellMar>
          <w:top w:w="28" w:type="dxa"/>
          <w:left w:w="28" w:type="dxa"/>
          <w:bottom w:w="28" w:type="dxa"/>
          <w:right w:w="28" w:type="dxa"/>
        </w:tblCellMar>
      </w:tblPr>
      <w:tblGrid>
        <w:gridCol w:w="914"/>
        <w:gridCol w:w="801"/>
        <w:gridCol w:w="812"/>
        <w:gridCol w:w="2307"/>
        <w:gridCol w:w="2220"/>
        <w:gridCol w:w="3151"/>
      </w:tblGrid>
      <w:tr>
        <w:trPr/>
        <w:tc>
          <w:tcPr>
            <w:tcW w:w="91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7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Lifecore Biomedical, Inc.</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that may be offered by the Selling Stockholders</w:t>
            </w:r>
          </w:p>
        </w:tc>
        <w:tc>
          <w:tcPr>
            <w:tcW w:w="7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Up to 20,456,637 shares of common stock.</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7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of shares of common stock by the Selling Stockholders.</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for common stock</w:t>
            </w:r>
          </w:p>
        </w:tc>
        <w:tc>
          <w:tcPr>
            <w:tcW w:w="7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Nasdaq under the symbol “LFCR.”</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7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See the section titled “Risk Factors” and the other information included in or incorporated by reference in this prospectus for a discussion of factors you should consider carefully before deciding to invest in shares of our common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Investing in our securities involves risks. Before making an investment decision, in addition to the risk factors included below, you should carefully consider the risks described under the caption “Risk Factors” in our Annual Report on Form 10-K for the fiscal year ended May 25, 2025, which is incorporated herein by reference, as well as other risk factors described under the caption “Risk Factors” included or incorporated by reference in the prospectus, including our other filings with the SEC, before making an investment decision. Any of the risks described below and that we describe in the information incorporated herein by reference could cause our business, financial condition or operating results to suffer. The market price of our common stock could decline if one or more of these risks and uncertainties develop into actual events. You could lose all or part of your investment. Additional risks and uncertainties not currently known to us, or that we currently deem to be immaterial, may also materially adversely affect our business, financial condition or operating results. Some of the statements in this section of the prospectus are forward-looking statements. For more information, see the sections of this prospectus titled “Incorporation of Information by Reference” and “Special Note Regarding Forward-Looking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Future resales of common stock may cause the market price of our securities to drop significantly, even if our business is doing well.</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of a substantial number of shares of our common stock in the public market could occur at any time, including by the Selling Stockholders pursuant to the registration statement of which this prospectus is a part. These sales, or the perception in the market of such sales, could reduce the market price of our common stock and increase the volatility in the market price of our common stock. Further, the sale of a substantial portion of shares of our common stock could result in a change of control of us, which could impact the market price and liquidity of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restricted from engaging in certain activities without the consent of the holders of our Convertible Preferred Stock, giving them significant influence over our operations and restricting our ability to engage in certain corporate actions.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so long as 30% of the shares of Convertible Preferred Stock issued in the Preferred Stock Private Placement remain outstanding, certain matters will require the approval of the majority of the outstanding shares of Convertible Preferred Stock, voting as a separate class, including, among other things, incurring indebtedness in excess of $175,000,000, granting any lien or other encumbrance on all or substantially all of our assets, amending, altering or repealing any provision of the Certificate of Designations, amending, altering or repealing any provision of our Certificate of Incorporation or Bylaws in a manner that adversely affects the Convertible Preferred Stock, increasing or decreasing the authorized number of shares of Convertible Preferred Stock (except to provide for the issuance of PIK dividends) or creating or increasing the authorized number of shares of any additional class of capital stock (unless such class ranks junior to the Convertible Preferred Stock and is issued at fair market value) or paying any dividends or making distributions on our common stock. Because the interests of the holders of the Convertible Preferred Stock may differ from our interests or the interests of the holders of our common stock, the actions that the holders of the Convertible Preferred Stock may take, or the decision to prevent us from taking certain actions by withholding their consent, may not be favorable to us or the holders of our common stock and may significantly and adversely impact our operations, business, financial condition, results of operations and/or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stockholders will experience significant dilution as a result of the issuance of shares of our common stock upon conversion of the Convertible Preferred Stock.</w:t>
      </w:r>
    </w:p>
    <w:p>
      <w:pPr>
        <w:pStyle w:val="TextBody"/>
        <w:bidi w:val="0"/>
        <w:spacing w:lineRule="auto" w:line="288" w:before="0" w:after="180"/>
        <w:jc w:val="both"/>
        <w:rPr/>
      </w:pPr>
      <w:r>
        <w:rPr>
          <w:rFonts w:ascii="Times New Roman;serif" w:hAnsi="Times New Roman;serif"/>
          <w:b w:val="false"/>
          <w:color w:val="000000"/>
          <w:sz w:val="20"/>
          <w:shd w:fill="FFFFFF" w:val="clear"/>
        </w:rPr>
        <w:t>Our outstanding shares of Convertible Preferred Stock were initially convertible into an aggregate of over 5.5 million shares of common stock, subject to potential increase pursuant to applicable anti-dilution adjustments. Furthermore, the Convertible Preferred Stock accrues dividends on a quarterly basis at a rate of 7.5% per annum, thereby increasing the number of shares of common</w:t>
      </w:r>
      <w:r>
        <w:rPr>
          <w:color w:val="000000"/>
        </w:rPr>
        <w:t xml:space="preserve"> </w:t>
      </w:r>
      <w:r>
        <w:rPr>
          <w:rFonts w:ascii="Times New Roman;serif" w:hAnsi="Times New Roman;serif"/>
          <w:b w:val="false"/>
          <w:color w:val="000000"/>
          <w:sz w:val="20"/>
        </w:rPr>
        <w:t xml:space="preserve">stock issuable upon conversion. The conversion of some or all of the Convertible Preferred Stock will result in the issuance of a substantial number of shares of common stock and, as a result, the percentage ownership and voting power held by our existing stockholders will be significantly reduced and our stockholders will experience significant dilution. As of September 19, 2025, an aggregate of 7,131,735 shares of common stock were issuable upon conversion of the Convertible Preferred Stock, including all </w:t>
      </w:r>
    </w:p>
    <w:p>
      <w:pPr>
        <w:pStyle w:val="TextBody"/>
        <w:bidi w:val="0"/>
        <w:spacing w:before="0" w:after="18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PIK dividends received as of such date. In addition, the conversion price of the Redeemable Convertible Preferred Stock has been, and in the future may be, adjusted in connection with certain dilutive events, including in the event of subsequent equity offerings at a price below the current conversion price, which would result in additional shares becoming issuable upon conversion. For example, as a result of the 2024 Private Placement, the conversion price was adjusted from the initial price of $7.00 per share to approximately $6.53 per share. These rights could adversely impact the Company’s access to equity capital, and otherwise compound the dilutive effects of future equity raises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of shares of common stock by the Selling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STOCKHOLDERS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This prospectus relates to the resale from time to time by the Selling Stockholders of the shares of common stock set forth below. We are registering the shares of common stock included in this prospectus pursuant to the registration rights of the Selling Stockholders in the 2022 Purchase Agreement, the 2023 Registration Rights Agreement and the </w:t>
      </w:r>
      <w:r>
        <w:rPr>
          <w:rFonts w:ascii="Times New Roman;serif" w:hAnsi="Times New Roman;serif"/>
          <w:b w:val="false"/>
          <w:color w:val="000000"/>
          <w:sz w:val="20"/>
        </w:rPr>
        <w:t>2024 Purchase Agreement</w:t>
      </w:r>
      <w:r>
        <w:rPr>
          <w:rFonts w:ascii="Times New Roman;serif" w:hAnsi="Times New Roman;serif"/>
          <w:b w:val="false"/>
          <w:color w:val="000000"/>
          <w:sz w:val="20"/>
          <w:shd w:fill="FFFFFF" w:val="clear"/>
        </w:rPr>
        <w:t>. For additional information, see “Prospectus Summary-Private Placements.”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presents information regarding the beneficial ownership of shares of common stock held by each of the Selling Stockholders, including the shares of common stock that may be resold by each Selling Stockholder from time to time under this prospectus. This table is prepared based on information supplied by the Selling Stockholders, with beneficial ownership and percentage ownership determined in accordance with the rules and regulations of the SEC. This information does not necessarily indicate beneficial ownership for any other purpose.</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second column (titled “Shares Beneficially Owned Prior to the Offering”) lists the number of shares of common stock beneficially owned by each Selling Stockholder, based on its respective ownership of shares of common stock and Convertible Preferred Stock as of </w:t>
      </w:r>
      <w:r>
        <w:rPr>
          <w:rFonts w:ascii="Times New Roman;serif" w:hAnsi="Times New Roman;serif"/>
          <w:b w:val="false"/>
          <w:color w:val="000000"/>
          <w:sz w:val="20"/>
        </w:rPr>
        <w:t>September 19, 2025</w:t>
      </w:r>
      <w:r>
        <w:rPr>
          <w:rFonts w:ascii="Times New Roman;serif" w:hAnsi="Times New Roman;serif"/>
          <w:b w:val="false"/>
          <w:color w:val="000000"/>
          <w:sz w:val="20"/>
          <w:shd w:fill="FFFFFF" w:val="clear"/>
        </w:rPr>
        <w:t>, assuming conversion of any shares of Convertible Preferred Stock held by such Selling Stockholder on that date but taking into account the Beneficial Ownership Cap, unless waived by the respective Selling Stockholder.</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third column (titled “Maximum Number of Shares to be Sold Pursuant to this Prospectus”) lists all of the shares of common stock being offered for resale by the Selling Stockholders under this prospectus and does not take into account the Beneficial Ownership Cap.</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accordance with the terms of the 2022 Purchase Agreement, the 2023 Registration Rights Agreement and the </w:t>
      </w:r>
      <w:r>
        <w:rPr>
          <w:rFonts w:ascii="Times New Roman;serif" w:hAnsi="Times New Roman;serif"/>
          <w:b w:val="false"/>
          <w:color w:val="000000"/>
          <w:sz w:val="20"/>
        </w:rPr>
        <w:t>2024 Purchase Agreement</w:t>
      </w:r>
      <w:r>
        <w:rPr>
          <w:rFonts w:ascii="Times New Roman;serif" w:hAnsi="Times New Roman;serif"/>
          <w:b w:val="false"/>
          <w:color w:val="000000"/>
          <w:sz w:val="20"/>
          <w:shd w:fill="FFFFFF" w:val="clear"/>
        </w:rPr>
        <w:t xml:space="preserve">, this prospectus generally covers the sale of (i) </w:t>
      </w:r>
      <w:r>
        <w:rPr>
          <w:rFonts w:ascii="Times New Roman;serif" w:hAnsi="Times New Roman;serif"/>
          <w:b w:val="false"/>
          <w:color w:val="000000"/>
          <w:sz w:val="20"/>
        </w:rPr>
        <w:t>627,746</w:t>
      </w:r>
      <w:r>
        <w:rPr>
          <w:color w:val="000000"/>
          <w:shd w:fill="FFFFFF" w:val="clear"/>
        </w:rPr>
        <w:t xml:space="preserve"> </w:t>
      </w:r>
      <w:r>
        <w:rPr>
          <w:rFonts w:ascii="Times New Roman;serif" w:hAnsi="Times New Roman;serif"/>
          <w:b w:val="false"/>
          <w:color w:val="000000"/>
          <w:sz w:val="20"/>
          <w:shd w:fill="FFFFFF" w:val="clear"/>
        </w:rPr>
        <w:t xml:space="preserve">shares of common stock issued in the 2022 Private Placement, (ii) </w:t>
      </w:r>
      <w:r>
        <w:rPr>
          <w:rFonts w:ascii="Times New Roman;serif" w:hAnsi="Times New Roman;serif"/>
          <w:b w:val="false"/>
          <w:color w:val="000000"/>
          <w:sz w:val="20"/>
        </w:rPr>
        <w:t>13,900,116</w:t>
      </w:r>
      <w:r>
        <w:rPr>
          <w:color w:val="000000"/>
          <w:shd w:fill="FFFFFF" w:val="clear"/>
        </w:rPr>
        <w:t xml:space="preserve"> </w:t>
      </w:r>
      <w:r>
        <w:rPr>
          <w:rFonts w:ascii="Times New Roman;serif" w:hAnsi="Times New Roman;serif"/>
          <w:b w:val="false"/>
          <w:color w:val="000000"/>
          <w:sz w:val="20"/>
          <w:shd w:fill="FFFFFF" w:val="clear"/>
        </w:rPr>
        <w:t xml:space="preserve">shares of common stock issuable upon conversion of shares of Convertible Preferred Stock (reflecting more than 150% of the initial number of shares of common stock issuable upon conversion of the Convertible Preferred Stock, including any shares of Convertible Preferred Stock issued as PIK shares in connection with the payment of dividends on the Convertible Preferred Stock, assuming that (x) the Convertible Preferred Stock is convertible at $6.53 per share and (y) dividends on the Convertible Preferred Stock are paid in the form of PIK shares for a period of five (5) years after the Preferred Issuance Date), and (iii) </w:t>
      </w:r>
      <w:r>
        <w:rPr>
          <w:rFonts w:ascii="Times New Roman;serif" w:hAnsi="Times New Roman;serif"/>
          <w:b w:val="false"/>
          <w:color w:val="000000"/>
          <w:sz w:val="20"/>
        </w:rPr>
        <w:t xml:space="preserve">5,928,775 </w:t>
      </w:r>
      <w:r>
        <w:rPr>
          <w:rFonts w:ascii="Times New Roman;serif" w:hAnsi="Times New Roman;serif"/>
          <w:b w:val="false"/>
          <w:color w:val="000000"/>
          <w:sz w:val="20"/>
          <w:shd w:fill="FFFFFF" w:val="clear"/>
        </w:rPr>
        <w:t xml:space="preserve">shares of common stock issued in the 2024 Private Placement. Because the conversion price of the Convertible Preferred Stock may be adjusted, the number of shares that will actually be issued may be more or less than the number of shares being offered by this prospectus. For example, in connection with the 2024 Private Placement, the conversion price of the Convertible Preferred Stock was adjusted from $7.00 to $6.53 and, as a result, an additional </w:t>
      </w:r>
      <w:r>
        <w:rPr>
          <w:rFonts w:ascii="Times New Roman;serif" w:hAnsi="Times New Roman;serif"/>
          <w:b w:val="false"/>
          <w:color w:val="000000"/>
          <w:sz w:val="20"/>
        </w:rPr>
        <w:t>866,569</w:t>
      </w:r>
      <w:r>
        <w:rPr>
          <w:color w:val="000000"/>
          <w:shd w:fill="FFFFFF" w:val="clear"/>
        </w:rPr>
        <w:t xml:space="preserve"> </w:t>
      </w:r>
      <w:r>
        <w:rPr>
          <w:rFonts w:ascii="Times New Roman;serif" w:hAnsi="Times New Roman;serif"/>
          <w:b w:val="false"/>
          <w:color w:val="000000"/>
          <w:sz w:val="20"/>
          <w:shd w:fill="FFFFFF" w:val="clear"/>
        </w:rPr>
        <w:t>shares of common stock became issuable upon conversion of the Convertible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fourth column (titled “Shares Beneficially Owned After the Offering”) assumes the sale of all of the shares offered by the Selling Stockholders pursuant to this prospectus.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Selling Stockholders may sell some, all or none of the shares being offered for resale in this offering. We do not know how long the Selling Stockholders will hold the shares before selling them, and we are not aware of any existing arrangements between the Selling Stockholders and any other stockholder, broker, dealer, underwriter or </w:t>
      </w:r>
    </w:p>
    <w:p>
      <w:pPr>
        <w:pStyle w:val="TextBody"/>
        <w:bidi w:val="0"/>
        <w:spacing w:before="0" w:after="18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agent relating to the sale or distribution of the shares of our common stock being offered for resale by this prospectus. See “Plan of Distribution.”</w:t>
      </w:r>
    </w:p>
    <w:tbl>
      <w:tblPr>
        <w:tblW w:w="10205" w:type="dxa"/>
        <w:jc w:val="left"/>
        <w:tblInd w:w="0" w:type="dxa"/>
        <w:tblLayout w:type="fixed"/>
        <w:tblCellMar>
          <w:top w:w="28" w:type="dxa"/>
          <w:left w:w="28" w:type="dxa"/>
          <w:bottom w:w="28" w:type="dxa"/>
          <w:right w:w="28" w:type="dxa"/>
        </w:tblCellMar>
      </w:tblPr>
      <w:tblGrid>
        <w:gridCol w:w="678"/>
        <w:gridCol w:w="428"/>
        <w:gridCol w:w="429"/>
        <w:gridCol w:w="109"/>
        <w:gridCol w:w="109"/>
        <w:gridCol w:w="109"/>
        <w:gridCol w:w="488"/>
        <w:gridCol w:w="488"/>
        <w:gridCol w:w="142"/>
        <w:gridCol w:w="142"/>
        <w:gridCol w:w="142"/>
        <w:gridCol w:w="142"/>
        <w:gridCol w:w="142"/>
        <w:gridCol w:w="142"/>
        <w:gridCol w:w="142"/>
        <w:gridCol w:w="275"/>
        <w:gridCol w:w="275"/>
        <w:gridCol w:w="430"/>
        <w:gridCol w:w="109"/>
        <w:gridCol w:w="109"/>
        <w:gridCol w:w="109"/>
        <w:gridCol w:w="878"/>
        <w:gridCol w:w="586"/>
        <w:gridCol w:w="588"/>
        <w:gridCol w:w="109"/>
        <w:gridCol w:w="109"/>
        <w:gridCol w:w="109"/>
        <w:gridCol w:w="518"/>
        <w:gridCol w:w="458"/>
        <w:gridCol w:w="153"/>
        <w:gridCol w:w="153"/>
        <w:gridCol w:w="153"/>
        <w:gridCol w:w="153"/>
        <w:gridCol w:w="327"/>
        <w:gridCol w:w="319"/>
        <w:gridCol w:w="453"/>
      </w:tblGrid>
      <w:tr>
        <w:trPr/>
        <w:tc>
          <w:tcPr>
            <w:tcW w:w="67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Shares Beneficially Owned Prior to the Offering</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Number of Shares to be Sold Pursuant to this Prospectus</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Shares Beneficially Owned After the Offering</w:t>
            </w:r>
            <w:r>
              <w:rPr>
                <w:rFonts w:ascii="Times New Roman;serif" w:hAnsi="Times New Roman;serif"/>
                <w:b/>
                <w:color w:val="000000"/>
                <w:sz w:val="10"/>
              </w:rPr>
              <w:t>(3)</w:t>
            </w:r>
          </w:p>
        </w:tc>
      </w:tr>
      <w:tr>
        <w:trPr/>
        <w:tc>
          <w:tcPr>
            <w:tcW w:w="15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Name of Selling Stockholder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22NW,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2,761,832 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5,380,693 </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325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3,082,710 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2,586,244 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1,369,785 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Bradley L. Radoff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243,902 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Clark BP,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166,009 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246,264 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Cove Street Capital,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(8)</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538,067 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David Capital Partners Fund,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(9)</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David S. Floren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DCF Partners,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(11)</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370,000 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122,892 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Far View Partners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(12)</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182,926 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264,387 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Foxhunt Crescent,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(13)</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121,951 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Greenhaven Road Capital Fund 1,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1,670,341 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(14)</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646,308 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Greenhaven Road Capital Fund 2,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2,024,491 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(15)</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817,106 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1,207,385 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Laughing Water Capital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497,896 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(16)</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167,822 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330,074 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Laughing Water Capital,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(16)</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153,973 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Legion Partners Asset Management,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6,762,432 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5,947,325 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2,998,409 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THG Securities Fund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538,067 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Wynnefield Capital,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5,420,561 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(19)</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2,086,244 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3,901,974 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*Represents beneficial ownership of less than 1.0%</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number of shares set forth in this column reflects the number of shares of common stock beneficially owned by each Selling Stockholder, based on its respective ownership of shares of common stock and Convertible Preferred Stock as of September 19, 2025, assuming conversion of any shares of Convertible Preferred Stock held by each such Selling Stockholder on that date but taking into account any applicable Beneficial Ownership Cap and excluding any PIK dividends issuable within 60 days following such date. Such information was derived from certain schedules filed with the SEC, the Company’s internal records and other information available to the Company. The percentage of shares of common stock beneficially owned by each Selling Stockholder in this column is based on (i) an aggregate of 37,466,352 shares of common stock outstanding on September 19, 2025 and (ii) the number of shares of common stock underlying the Convertible Preferred Stock held by such Selling Stockholder as of September 19, 2025, assuming conversion of the Convertible Preferred Stock held by such Selling Stockholder on that date but taking into account any applicable Beneficial Ownership Cap. Such shares of common stock underlying the Convertible Preferred Stock held by such Selling Stockholder, however, are not deemed outstanding for the purposes of computing the percentage ownership of any other Selling Stockholder.</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amount set forth in this column reflects the number of shares of common stock that may be offered by the Selling Stockholders using this prospectus and does not take into account any applicable Beneficial Ownership Cap. These amounts do not represent any other shares of our common stock that the Selling Stockholders may own, beneficially or otherwise.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amount set forth in this column assumes the resale by the Selling Stockholders of all of the shares of common stock being offered for resale pursuant to this prospectus and does not take into account any applicable Beneficial Ownership Cap. The Selling Stockholders may sell some, all or none of the shares being offered for resale in this offering. The percentage of shares of common stock beneficially owned by each Selling Stockholder in this column is based on 51,366,468 shares of common stock outstanding, which includes an aggregate of 37,466,352 shares of common stock outstanding on September 19, 2025, and assumes the issuance of all 13,900,116 shares of common stock underlying the Convertible Preferred Stock that may be offered by the Selling Stockholders pursuant to this prospectus, but does not take into account any applicable Beneficial Ownership Cap.</w:t>
      </w:r>
    </w:p>
    <w:p>
      <w:pPr>
        <w:pStyle w:val="TextBody"/>
        <w:bidi w:val="0"/>
        <w:spacing w:before="0" w:after="0"/>
        <w:ind w:left="0" w:right="0" w:hanging="360"/>
        <w:jc w:val="both"/>
        <w:rPr/>
      </w:pPr>
      <w:r>
        <w:rPr/>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(4)This information is based on (i) Amendment No. 7 to a Schedule 13D filed on May 29, 2025 by 22NW Fund, LP (“22NW Fund”), 22NW, LP (“22NW”), 22NW Fund GP, LLC (“22NW GP”), 22NW GP, Inc. (“22NW Inc.”), Aron R. English, Bryson O. Hirai-Hadley and Nathaniel Calloway (collectively, the “22NW Investors”), (ii) the Company's internal records with respect to the number of shares of Common Stock into which the shares of Convertible Preferred Stock may convert, and (iii) information provided to the Company. The 22NW Investors in the aggregate hold 2,761,832 shares (including 2,760,578 shares issuable upon conversion of certain shares of </w:t>
      </w:r>
    </w:p>
    <w:p>
      <w:pPr>
        <w:pStyle w:val="TextBody"/>
        <w:bidi w:val="0"/>
        <w:spacing w:before="0" w:after="18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Convertible Preferred Stock) over which each of 22NW Fund, 22NW, 22NW GP, 22NW Inc. and Mr. English has sole voting and dispositive power. Furthermore, the Schedule 13D/A discloses 583 shares over which Mr. Hirai-Hadley has sole voting and dispositive power. Mr. Hirai-Hadley is head of research and partner at 22NW. By virtue of their respective positions with 22NW Fund, each of 22NW, 22NW GP, 22NW Inc. and Mr. English may be deemed to have sole power to vote and dispose of the shares directly beneficially owned by 22NW Fund. The address of the principal office of each of 22NW Fund, 22NW, 22NW GP, 22NW Inc. and Mr. English is 590 1st Avenue S, Unit C1, Seattle, WA 98104.</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(5)Includes (i) 931 shares of Convertible Preferred Stock held by 325 Capital Master Fund; (ii) 499 shares of Convertible Preferred Stock held by Gothic ERP 649947; (iii) 2,702 shares of Convertible Preferred Stock held by Gothic Corp 649429; (iv) 1,008 shares of Convertible Preferred Stock held by Gothic JBD LLC 650324; and (v) 873 shares of Convertible Preferred Stock held by Gothic HSP Corp 649359 (collectively, the “325 Capital Investors”). Based on the Company’s internal records, the number of shares of Common Stock into which the shares of Convertible Preferred Stock beneficially owned by the 325 Capital Investors could convert was, in the aggregate, 920,244. To the knowledge of the Company, 325 Capital Master Fund LP has voting and investment discretion over the securities held by each of the 325 Capital Investors. The address for each of the 325 Capital Investors is 280 S Mangum St., Suite 210 Durham, NC 27701.</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(6)The address of Bradley L. Radoff is 2727 Kirby Drive, Unit 29 L, Houston, TX 77098.</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(7)Clark BP, LLC (“Clark”) directly owns 412,273 shares. LW Capital Management, LLC (the “Investment Manager”) is the investment manager of Clark BP, LLC. Matthew Sweeney is the Manager of the Investment Manager. Each of Clark, the Investment Manager, and Matthew Sweeney have sole voting and dispositive power over these shares. Each of the Investment Manager and Matthew Sweeney may be deemed to beneficially own these shares; each disclaims beneficial ownership thereof. The principal business office of each the Investment Manager and Matthew Sweeney is 14 Stonewell Road, Rockville Centre, NY 11570.</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(8)Reflects shares of common stock issuable upon conversion of outstanding shares of Convertible Preferred Stock held of record by CSC Partners Fund LP. Each of (i) CSC Partners, LLC, which serves as the general partner of CSC Partners Fund, LP, (ii) Cove Street Capital LLC, a controlling owner of CSC Partners, LLC, and (iii) Jeffrey Bronchick, a Principal and Portfolio Manager of Cove Street Capital, LLC, may be deemed to beneficially own certain of the securities held by CSC Partners Fund LP. The address for each of the foregoing entities and individuals is 205 Pier Avenue, Suite 101, Hermosa Beach, CA 90254.</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(9)David Capital Partners, LLC, in its role as investment manager to David Capital Partners Fund, LP, may be deemed to beneficially own the shares held by David Capital Partners Fund, LP. David Capital Partners, LLC expressly disclaims beneficial ownership of all securities held by David Capital Partners Fund, LP. The address for each of David Capital Partners Fund, LP and David Capital Partners, LLC is 737 N. Michigan Avenue, Suite 1405, Chicago, Illinois 60611.</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(10)The address for David Floren is 73 Arch St., Greenwich, CT 06830.</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(11)DCF Advisers, L.L.C., as the general partner of DCF Partners, L.P., may be deemed to beneficially own these shares for purposes of Rule 13d-3 under the Exchange Act. The address for each of DCF Advisers, L.L.C and DCF Partners, L.P. is 73 Arch St., Greenwich, CT 06830.</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(12)The shares are held of record by Far View Partners, LP, of which Far View Partners GP, LLC is the general partner and for which Far View Capital Management, LLC serves as the investment manager. The address for each of Far View Partners, LP and Far View Capital Management, LLC is 520 E. Cooper Ave, Suite C7, Aspen, CO 81611.</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(13)Consists of an aggregate of 862,640 shares of Common Stock held by Foxhunt Crescent, LP. Sami Capital, LLC, in its capacity as the general partner of Foxhunt Crescent, LP, has the power to vote and the power to direct the disposition of the shares held by Foxhunt Crescent, LP. Accordingly, Sami Capital, LLC may be deemed to be the beneficial owner of such securities. Kevin J. Sami, as the Managing Partner of Sami Capital, LLC, has the power to direct the vote and disposition of (i) the securities held by Foxhunt Crescent, LP, and (ii) 21,500 shares of Common Stock held in a personal IRA. Kevin J. Sami disclaims beneficial ownership of the securities held by Foxhunt Crescent, LP, except to the extent of his pecuniary interest therein. The address of Foxhunt Crescent, LP is 666 Greenwich Street, Apt 534, New York, NY, 10014.</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(14)Greenhaven Road Capital Fund 1, LP (“Fund 1”) directly owns these shares. Greenhaven Road Investment Management, LP (the “Investment Manager”) is the investment manager of Fund 1. MVM Funds, LLC (the “General Partner”) is the general partner of Fund 1 and the Investment Manager. Scott Miller is the controlling person of the General Partner. Each of Fund 1, the Investment Manager, the General Partner and Scott Miller (all of the foregoing, collectively, the “Fund 1 Persons”) has sole voting and dispositive power over these shares. Each of the Investment Manager, the General Partner and Scott Miller may be deemed to beneficially own these shares; each disclaims beneficial ownership thereof. The principal business office of each of the Fund 1 Persons is 8 Sound Shore Drive, Suite 210, Greenwich, CT 06830.</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(15)Greenhaven Road Capital Fund 2, LP (“Fund 2”) directly owns these shares. Greenhaven Road Investment Management, LP (the “Investment Manager”) is the investment manager of Fund 2 MVM Funds, LLC (the “General Partner”) is the general partner of Fund 2 and the Investment Manager. Scott Miller is the controlling person of the General Partner. Each of Fund 2, the Investment Manager, the General Partner and Scott Miller (all of the foregoing, collectively, the “Fund 2 Persons”) has sole voting and dispositive power over these shares. Each of the Investment Manager, the General Partner and Scott Miller may be deemed to beneficially own these shares; each disclaims beneficial ownership thereof. The principal business office of each of the Fund 2 Persons is 8 Sound Shore Drive, Suite 210, Greenwich, CT 06830.</w:t>
      </w:r>
    </w:p>
    <w:p>
      <w:pPr>
        <w:pStyle w:val="TextBody"/>
        <w:bidi w:val="0"/>
        <w:ind w:left="0" w:right="0" w:hanging="360"/>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(16)Based on information provided to the Company that Laughing Water Capital, LP holds 401,571 shares of Common Stock and Laughing Water Capital II, LP holds 497,896 shares of Common Stock. Prior to providing this information, the holding of these entities were reported on Schedule 13G filed on February 14, 2024 by LW Capital Management, LLC, Laughing Water Capital, LP and Laughing Water Capital II, LP (collectively, the “LW Investors”). According to the Schedule 13G, (i) LW Capital Management, LLC had sole voting power and dispositive power over 544,294 shares and shared voting and dispositive power over 1,033,903 shares, (ii) Laughing Water Capital, LP had shared voting and dispositive power over 529,234 shares, and (iii) Laughing Water Capital II, LP had shared voting and dispositive power over 504,669 shares. The address for each LW Capital Management, LLC investors is 14 Stonewell Road, Rockville Centre, NY 11570.</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(17)This information is based on (i) an Amendment No. 9 to Schedule 13D filed on October 7, 2024 by Legion Partners, L.P. I, Legion Partners, L.P. II, Legion Partners, LLC, Legion Partners Asset Management, LLC, Legion Partners Holdings, LLC, Christopher S. Kiper and Raymond T. White (collectively the “Legion Investors”), (ii) the Company’s internal records with respect to the number of shares of Common Stock issuable upon conversion of the Convertible Preferred stock and (iii) 30,000 additional shares of common stock that were granted to Mr. Kiper in his capacity as a director of the Company. According to the Schedule 13D/A, (i) Legion Partners, L.P. I, has shared voting and shared dispositive power over 5,938,615 shares (including 1,854,347 shares issuable upon conversion of certain shares of Convertible Preferred Stock); (ii) Legion Partners, L.P. II, has shared voting and shared dispositive power over 495,720 shares (including 176,434 shares issuable upon conversion of certain shares of Convertible Preferred Stock); (iii) Legion Partners, LLC has shared voting and shared dispositive power over 6,434,335 shares (including 2,030,781 shares issuable upon conversion of certain shares of Convertible Preferred Stock); (iv) Legion Partners Asset Management, LLC has shared voting and shared dispositive power over 6,462,404 shares (including 2,030,781 shares issuable upon conversion of certain shares of Convertible Preferred Stock); and (iv) each of Legion Partners Holdings, LLC, Christopher S. Kiper and Raymond T. White has shared voting and shared dispositive power over 6,462,604 shares (including 2,030,781 shares issuable upon conversion of certain shares of Convertible Preferred Stock). Each of Messrs. Kiper and White, as a managing director of Legion Partners Asset Management, LLC and a managing member of Legion Partners Holdings, LLC, may be deemed the beneficial owner of the (i) 5,938,615 shares beneficially owned by Legion Partners, L.P. I, (ii) 495,720 shares beneficially owned by Legion Partners, L.P. II, (iii) 200 shares beneficially owned by Legion Partners Holdings, LLC, and (iv) 28,069 shares that were granted to Mr. Kiper in his capacity as a director of the Company and whose economic interest is owned by Legion Partners Asset Management, LLC. The address for each of the Legion Investors is 12121 Wilshire Blvd, Suite 1240, Los Angeles, CA 90025.</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(18)Reflects an aggregate of 276,073 shares of common stock issuable upon conversion of shares of Convertible Preferred Stock held of record by THG Securities Fund LP (the “Fund”) according to the Company’s internal records. THG Securities Advisors, LLC (the “Manager”) has the power to direct the voting and disposition of the securities held by the Fund. Mark Holdsworth and Zachary Levenick, as the principals of the Manager responsible for the investment holdings and transactions of the Fund, also may be deemed to have beneficial ownership of the securities. The address for the foregoing entities and individuals is 140 South Lake Avenue, Suite 304, Pasadena, CA 91101.</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(19)This information is based on (1) an Amendment No. 10 to Schedule 13D filed on July 5, 2024 by Wynnefield Partners Small Cap Value, L.P. I (“Wynnefield Partners I”), Wynnefield Partners Small Cap Value, L.P. (“Wynnefield Partners”), Wynnefield Small Cap Value Offshore Fund, Ltd. (“Wynnefield Offshore”), Wynnefield Capital, Inc. Profit Sharing Plan (“Wynnefield Plan”), Wynnefield Capital Management, LLC (“WCM”), Wynnefield Capital, Inc. (“WCI”) and Nelson Obus and Joshua Landes (collectively, the “Wynnefield Investors”), (2) the subsequent participation by the Wynnefield Investors in the PIPE Offering, and (3) 30,000 shares that were granted to Mr. Obus in his capacity as a director of the Company. According to the Schedule 13D/A, (i) Wynnefield Partners I has sole voting and sole dispositive power over 2,216,667 shares (including 243,814 shares issuable upon conversion of certain share of Convertible Preferred Stock); (ii) Wynnefield Partners has sole voting and sole dispositive power over 1,396,408 shares (including 162,543 shares issuable upon conversion of certain shares of Convertible Preferred Stock); (iii) Wynnefield Offshore has sole voting and sole dispositive power over 938,554 shares (including 101,589 shares issuable upon conversion of certain shares of Convertible Preferred Stock); (iv) Wynnefield Plan has sole voting and sole dispositive power over 367,350 shares; (v) WCM has sole voting and sole dispositive power over 3,613,075 shares (including 406,357 shares issuable upon conversion of certain shares of Convertible Preferred Stock); (vi) WCI has sole voting and sole dispositive power over 938,554 shares (including 101,589 shares issuable upon conversion of certain shares of Convertible Preferred Stock); (vii) Mr. Obus has sole voting and sole dispositive power over 88,687 shares and shared voting and shared dispositive power over 4,918,979 shares (including 507,946 shares issuable upon conversion of certain shares of Convertible Preferred Stock), and (viii) Mr. Landes has shared voting and shared dispositive power over 4,918,979 shares (including 507,946 shares issuable upon conversion of certain shares of Convertible Preferred Stock). On October 3, 2024, WCM purchased 122,930 shares of Common Stock and Wynnefield Partners purchased 169,753 shares of Common Stock, in each case, in the PIPE Offering. The address for each of the Wynnefield Investors is 450 Seventh Avenue, Suite 509, New York, New York 10123.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bylaws and certificate of designations, copies of which are filed as exhibits to the registration statement of which this prospectus is a part and are incorporated by reference herein.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consists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75,000,000 shares of common stock, $0.001 par value;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2,000,000 shares of preferred stock, $0.001 par value (of which 120,000 shares are designated as shares of Series A Convertible Preferred Stock).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our common stock are entitled to one vote for each share held on all matters submitted to a vote of stockholders and do not have cumulative voting rights. In any election of directors, a director nominee shall be elected if the votes cast for such nominee’s election exceed the votes cast against such nominee’s election (with abstentions not counted as a vote cast either for or against that nominee’s election) by the stockholders entitled to vote on the election. Any director or our entire board of directors (the “Board”) may be removed, with or without cause, and any vacancies on the Board may be filled by the holders of a majority of the shares then entitled to vote at an election of directors. Amendments to our bylaws may be adopted by the affirmative vote of a majority in voting power of all of the then-outstanding shares of our voting stock entitled to vote. All other matters shall be decided by the affirmative vote of a majority in voting power of the votes cast affirmatively or negatively (excluding abstentions) at a meeting by the holders entitled to vote thereon.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common stock are entitled to receive proportionately any dividends as may be declared by our Board, subject to any preferential dividend rights of outstanding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event of our liquidation, dissolution or winding up, the holders of our common stock are entitled to receive proportionately our net assets available after the payment of all debts and other liabilities and subject to the prior rights of any outstanding preferred stock.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our certificate of incorporation, our Board is authorized to direct us to issue shares of preferred stock in one or more series without stockholder approval. Our Board has the discretion to determine the rights, preferences, privileges and restrictions, including voting rights, dividend rights, conversion rights, redemption privileges and liquidation preferences of each series of preferred stock. We have designated one series of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purpose of authorizing our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preferred stock of each series will rank senior to the common stock in priority of payment of dividends and in the distribution of assets in the event of our liquidation, dissolution or winding up, to the extent of the preferential amounts to which the preferred stock of the respective series will be entitled. Upon issuance, the shares of preferred stock will be fully paid and nonassessable, which means that its holders will have paid their purchase price in full and we may not require them to pay additional funds.</w:t>
      </w:r>
    </w:p>
    <w:p>
      <w:pPr>
        <w:pStyle w:val="TextBody"/>
        <w:bidi w:val="0"/>
        <w:spacing w:before="0" w:after="18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A Convertible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9, 2023, we entered into the 2023 Purchase Agreement with certain of the Selling Stockholders. Pursuant to the 2023 Purchase Agreement, we issued and sold an aggregate of 38,750 shares our Convertible Preferred Stock to certain of the Selling Stockholders for an aggregate purchase price of $38.75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share of Convertible Preferred Stock has the powers, designations, preferences and other rights as are set forth in the Certificate of Designations of the Series A Preferred Stock filed with the Delaware Secretary of State on January 9, 2023 (the “Certificate of Designations”).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Convertible Preferred Stock ranks senior to our common stock with respect to dividends, distributions and payments on liquidation, winding-up and dissolution.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a liquidation, dissolution, winding up or change of control of us, each share of Convertible Preferred Stock will be entitled to receive an amount per share of Convertible Preferred Stock equal to the greater of (i) the purchase price paid by the purchaser at issuance, plus all accrued and unpaid dividends (the “Liquidation Preference”) and (ii) the amount that the holder of Convertible Preferred Stock (each, a “Holder” and collectively, the “Holders”) would have been entitled to receive at such time if the Convertible Preferred Stock had been converted into common stock immediately prior to such liquidation event.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Holders will be entitled to dividends on the Liquidation Preference at the rate of 7.5% per annum, payable in-kind (“PIK”). The Company may, at its option, pay such dividends in cash from and after the earlier of June 29, 2026, or the termination or waiver of the restriction on cash dividends and/or redemptions that is set forth in the Credit Agreements (as defined in the Certificate of Designations) (such earlier date, the “Applicable Date”). The Holders are also entitled to participate in dividends declared or paid on the common stock on an as-converted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certain bankruptcy events, we are required to pay to each Holder an amount in cash equal to the Liquidation Preference being redeemed. From and after the Applicable Date, each Holder shall have the right to require us to redeem all or any part of such Holder’s Convertible Preferred Stock for an amount equal to the Liquidation Preference.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Holder has the right, at its option, to convert its Convertible Preferred Stock, in whole or in part, into fully paid and non-assessable shares of common stock at an initial conversion price equal to $7.00 per share. The conversion price is subject to customary anti-dilution adjustments, including in the event of any stock split, stock dividend, recapitalization or similar events, and is also subject to adjustment in the event of subsequent offerings of common stock or convertible securities by us for less than the conversion price. On October 3, 2024, we completed the sale of an aggregate of 5,928,775 shares of our common stock in a private placement at a purchase price of $4.10 per share, for aggregate gross proceeds of approximately $24.3 million (the “PIPE Offering”). As a result of the PIPE Offering, the conversion price was automatically adjusted to approximately $6.53 per share. Subject to certain exceptions and waiver by each Holder, we will not issue any shares of common stock to any respective Holder to the extent that such issuance of common stock would result in such Holder beneficially owning in excess of 9.99% of the then-outstanding common stock (the “Beneficial Ownership Cap”).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Subject to certain conditions, we may from time to time, at our option, require conversion of all or any portion of the outstanding shares of Convertible Preferred Stock to common stock if, for at least 20 consecutive trading days during the respective measuring period the closing price of the common stock was at least 150% of the conversion price. We may not exercise our right to mandatorily convert outstanding shares of Convertible Preferred Stock unless certain conditions with regard to the shares of common stock to be issued upon such conversion are satisfied.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Holders are generally entitled to vote with the holders of the shares of common stock on all matters submitted for a vote of holders of shares of common stock (voting together with the holders of shares of common stock as one class) on an as-converted basis, subject to the Beneficial Ownership Cap.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for so long as 30% of the shares of Convertible Preferred Stock issued in the Preferred Stock Private Placement remain outstanding, certain matters will require the approval of the majority of the outstanding Convertible Preferred Stock, voting as a separate class, including (i) amending, altering or repealing any provision </w:t>
      </w:r>
    </w:p>
    <w:p>
      <w:pPr>
        <w:pStyle w:val="TextBody"/>
        <w:bidi w:val="0"/>
        <w:spacing w:before="0" w:after="18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 the Certificate of Designations; (ii) amending, altering or repealing any provision of our certificate of incorporation or bylaws, in each case, in a manner that adversely affects the powers, preferences or rights of the Convertible Preferred Stock; (iii) increasing or decreasing the authorized number of shares of Convertible Preferred Stock (except to provide for the issuance of PIK dividends); (iv) creating (including by reclassification), issuing shares of or increasing the authorized number of shares of any additional class or series of our capital stock unless such class or series rank junior to the Convertible Preferred Stock and are issued at fair market value; (v) purchasing or redeeming or paying, declaring or setting aside any fund for, any dividend or distribution on, any common stock or other Junior Stock (as defined in the Certificate of Designations), other than purchases of our equity securities upon the termination of an employee of us or any of our subsidiaries in accordance with the terms of such employee’s employment agreement or any equity incentive or similar plan approved by the Board; or (vi) creating, incurring, granting, entering into, permitting, assuming or allowing, directly or indirectly, (a) any indebtedness by us (or any of our subsidiaries), excluding equity securities and non-convertible preferred stock (but including convertible debt), at any time when, or as a result of which, the principal amount of our total outstanding and available indebtedness exceeds $175,000,000, or (b) any lien, charge or other encumbrance on all or substantially all of our (or any of our subsidiaries’) properties or assets.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Anti-Takeover Effects of Delaware Law and Our Charter and Bylaws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our certificate of incorporation, we elect not to be subject to Section 203 of the General Corporation Law of the State of Delaware.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any action required or permitted to be taken by our stockholders at an annual meeting or special meeting of stockholders may only be taken if it is properly brought before such meeting and may not be taken by written action in lieu of a meeting. Our bylaws provide that special meetings of the stockholders can be called by the Board, the Chairman of the Board, the president or by one or more stockholders holding shares in the aggregate entitled to cast not less than 10% of the votes at that meeting. In addition, our bylaws establish an advance notice procedure for stockholder proposals to be brought before an annual meeting of stockholders, including proposed nominations of candidates for election to our Board. Stockholders at an annual meeting may only consider proposals or nominations specified in the notice of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certain stockholder actions until the next stockholder meeting.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A Convertible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a liquidation, dissolution, winding up or change of control of us, Holders of Convertible Preferred Stock would have the right to an amount per share of Convertible Preferred Stock equal to the greater of (i) the Liquidation Preference and (ii) the amount that the Holder would have been entitled to receive at such time if the Convertible Preferred Stock had been converted into Common Stock immediately prior to such liquidation event. The Holders will also be entitled to dividends on the Liquidation Preference at the rate of 7.5% per annum, PIK. The potential need to redeem the Convertible Preferred Stock at a significant premium could result in an anti-takeover effect. In addition, conversion of the Convertible Preferred Stock could dilute the stock ownership or voting rights of persons seeking to obtain control of us and thereby have the effect of making it more difficult to remove directors or members of management by diluting the stock ownership or voting rights of persons seeking to effect such a removal.</w:t>
      </w:r>
    </w:p>
    <w:p>
      <w:pPr>
        <w:pStyle w:val="TextBody"/>
        <w:bidi w:val="0"/>
        <w:spacing w:before="0" w:after="18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certain matters will require the approval of the majority of the outstanding Convertible Preferred Stock, voting as a separate class. Accordingly, the Convertible Preferred Stock may render more difficult or discourage a merger, tender offer or proxy contest, the assumption of control by a holder of a large block of Common Stock, or the replacement or removal of a member of the Board or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use any one or more of the following methods when disposing of shares or interests therein: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ordinary brokerage transactions and transactions in which the broker-dealer solicits purchasers;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block trades in which the broker-dealer will attempt to sell the shares as agent, but may position and resell a portion of the block as principal to facilitate the transaction;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short sales effected after the date the registration statement of which this prospectus is a part is declared effective by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through the writing or settlement of options or other hedging transactions, whether through an options exchange or otherwise;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broker-dealers may agree with the Selling Stockholders to sell a specified number of such shares at a stipulated price per share;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combination of any such methods of sale;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other method permitted by applicable law.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18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the extent required, the shares of our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the Selling Stockholders want to sell their shares of our common stock under this prospectus in the United States, the Selling Stockholders will also need to comply with state securities laws, also known as “Blue Sky laws,” with regard to secondary sales. All states offer a variety of exemption from registration for secondary sales. Many states, for example, have an exemption for secondary trading of securities registered under Section 12(g) of the Exchange Act or for securities of issuers that publish continuous disclosure of financial and non-financial information in a recognized securities manual, such as Standard &amp; Poor’s. The broker for the Selling Stockholders will be able to advise the Selling Stockholders in which states shares of our common stock are exempt from registration for secondary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person who purchases shares of our common stock from the Selling Stockholders offered by this prospectus who then wants to sell such shares will also have to comply with Blue Sky laws regarding secondary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agreed with the Selling Stockholders to use reasonable best efforts to cause the registration statement of which this prospectus constitutes a part effective and to remain continuously effective until the earlier of (1) such time as all of the shares covered by this prospectus have been disposed of pursuant to and in accordance with such </w:t>
      </w:r>
    </w:p>
    <w:p>
      <w:pPr>
        <w:pStyle w:val="TextBody"/>
        <w:bidi w:val="0"/>
        <w:spacing w:before="0" w:after="18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registration statement or (2) the date on which all of the shares may be sold without restriction pursuant to Rule 144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validity of the shares of our common stock offered by this prospectus has been passed upon for us by Latham &amp; Watkins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Lifecore Biomedical, Inc. (the Company) as of May 25, 2025 and May 26, 2024 and for each of the two years in the period ended May 25, 2025 and management's assessment of the effectiveness of internal control over financial reporting as of May 25, 2025 incorporated by reference in this Prospectus and in the Registration Statement have been so incorporated in reliance on the reports of BDO USA, P.C., an independent registered public accounting firm, given on the authority of said firm as experts in auditing and accounting. The report on the effectiveness of internal control over financial reporting expresses an adverse opinion on the effectiveness of the Company's internal control over financial reporting as of May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 INCORPORATION BY REFERENCE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under the Exchange Act. Our SEC filings are available to the public at the SEC’s website at www.sec.gov.</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and the registration statement of which this prospectus is a part, which means that we can disclose important information to you by referring you to another document filed separately with the SEC. The information incorporated by reference is deemed to be part of this prospectus, except for any information superseded by information contained directly in this prospectus, any prospectus supplement or any free writing prospectus prepared by or on behalf of us. This prospectus incorporates by reference the documents set forth below that we have previously filed with the SEC (other than information deemed furnished and not filed in accordance with SEC rules, including Items 2.02 and 7.01 of Form 8-K).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Annual Report on Form 10-K for the fiscal year ended May 25, 2025, filed with the SEC on </w:t>
      </w:r>
      <w:hyperlink r:id="rId14">
        <w:r>
          <w:rPr>
            <w:rStyle w:val="InternetLink"/>
            <w:rFonts w:ascii="Times New Roman;serif" w:hAnsi="Times New Roman;serif"/>
            <w:b w:val="false"/>
            <w:color w:val="0000FF"/>
            <w:sz w:val="20"/>
            <w:u w:val="single"/>
          </w:rPr>
          <w:t>August 7,</w:t>
        </w:r>
      </w:hyperlink>
      <w:hyperlink r:id="rId15">
        <w:r>
          <w:rPr>
            <w:rStyle w:val="InternetLink"/>
            <w:strike w:val="false"/>
            <w:dstrike w:val="false"/>
            <w:color w:val="0000FF"/>
            <w:u w:val="none"/>
            <w:effect w:val="none"/>
          </w:rPr>
          <w:t xml:space="preserve"> </w:t>
        </w:r>
      </w:hyperlink>
      <w:hyperlink r:id="rId16">
        <w:r>
          <w:rPr>
            <w:rStyle w:val="InternetLink"/>
            <w:rFonts w:ascii="Times New Roman;serif" w:hAnsi="Times New Roman;serif"/>
            <w:b w:val="false"/>
            <w:color w:val="0000FF"/>
            <w:sz w:val="20"/>
            <w:u w:val="single"/>
          </w:rPr>
          <w:t>2025</w:t>
        </w:r>
      </w:hyperlink>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information specifically incorporated by reference into our Annual Report on Form 10-K for the fiscal year ended May 25, 2025 from our Definitive Proxy Statement on Schedule 14A, filed with the SEC on </w:t>
      </w:r>
      <w:hyperlink r:id="rId17">
        <w:r>
          <w:rPr>
            <w:rStyle w:val="InternetLink"/>
          </w:rPr>
          <w:t xml:space="preserve">September </w:t>
        </w:r>
      </w:hyperlink>
      <w:hyperlink r:id="rId18">
        <w:r>
          <w:rPr>
            <w:rStyle w:val="InternetLink"/>
          </w:rPr>
          <w:t>18</w:t>
        </w:r>
      </w:hyperlink>
      <w:hyperlink r:id="rId19">
        <w:r>
          <w:rPr>
            <w:rStyle w:val="InternetLink"/>
          </w:rPr>
          <w:t>, 2025</w:t>
        </w:r>
      </w:hyperlink>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Current Reports on Form 8-K, filed with the SEC on </w:t>
      </w:r>
      <w:hyperlink r:id="rId20">
        <w:r>
          <w:rPr>
            <w:rStyle w:val="InternetLink"/>
          </w:rPr>
          <w:t>July</w:t>
        </w:r>
      </w:hyperlink>
      <w:hyperlink r:id="rId21">
        <w:r>
          <w:rPr>
            <w:rStyle w:val="InternetLink"/>
          </w:rPr>
          <w:t xml:space="preserve"> 18, 2025</w:t>
        </w:r>
      </w:hyperlink>
      <w:r>
        <w:rPr>
          <w:color w:val="000000"/>
        </w:rPr>
        <w:t xml:space="preserve"> </w:t>
      </w:r>
      <w:r>
        <w:rPr>
          <w:rFonts w:ascii="Times New Roman;serif" w:hAnsi="Times New Roman;serif"/>
          <w:b w:val="false"/>
          <w:color w:val="000000"/>
          <w:sz w:val="20"/>
        </w:rPr>
        <w:t xml:space="preserve">and </w:t>
      </w:r>
      <w:hyperlink r:id="rId22">
        <w:r>
          <w:rPr>
            <w:rStyle w:val="InternetLink"/>
            <w:rFonts w:ascii="Times New Roman;serif" w:hAnsi="Times New Roman;serif"/>
            <w:b w:val="false"/>
            <w:color w:val="0000FF"/>
            <w:sz w:val="20"/>
            <w:u w:val="single"/>
          </w:rPr>
          <w:t>August 18, 2025</w:t>
        </w:r>
      </w:hyperlink>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description of our securities registered pursuant to Section 12 of the Exchange Act contained in </w:t>
      </w:r>
      <w:hyperlink r:id="rId23">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to our Annual Report on Form 10-K for the fiscal year ended May 25, 2025 filed with the SEC on August 7, 2025, as updated by any amendment or report filed for the purpose of updating such description, including the section of this prospectus titled “Description of Capital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All reports and other documents we subsequently file pursuant to Section 13(a), 13(c), 14 or 15(d) of the Exchange Act prior to the termination of this offering, including all such documents we may file with the SEC after the date of this Amendment and prior to the effectiveness thereof,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obtain a copy of these filings at no cost, you may write or telephone us at the following address: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Lifecore Biomedical,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3515 Lyman Boulevard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Chaska, Minnesota 55318</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(952) 368-4300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000"/>
        <w:jc w:val="center"/>
        <w:rPr/>
      </w:pPr>
      <w:r>
        <w:rPr/>
      </w:r>
    </w:p>
    <w:p>
      <w:pPr>
        <w:pStyle w:val="TextBody"/>
        <w:bidi w:val="0"/>
        <w:spacing w:before="0" w:after="2000"/>
        <w:jc w:val="center"/>
        <w:rPr/>
      </w:pPr>
      <w:r>
        <w:rPr/>
        <w:drawing>
          <wp:inline distT="0" distB="0" distL="0" distR="0">
            <wp:extent cx="2743200" cy="733425"/>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24"/>
                    <a:stretch>
                      <a:fillRect/>
                    </a:stretch>
                  </pic:blipFill>
                  <pic:spPr bwMode="auto">
                    <a:xfrm>
                      <a:off x="0" y="0"/>
                      <a:ext cx="2743200" cy="73342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20,456,637 Shares of 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lineRule="auto" w:line="288" w:before="0" w:after="180"/>
        <w:jc w:val="center"/>
        <w:rPr>
          <w:color w:val="000000"/>
        </w:rPr>
      </w:pPr>
      <w:r>
        <w:rPr>
          <w:color w:val="000000"/>
        </w:rPr>
        <w:t>                    </w:t>
      </w:r>
      <w:r>
        <w:rPr>
          <w:rFonts w:ascii="Times New Roman;serif" w:hAnsi="Times New Roman;serif"/>
          <w:b/>
          <w:color w:val="000000"/>
          <w:sz w:val="20"/>
        </w:rPr>
        <w:t>,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an estimate of the expenses (all of which are to be paid by the registrant) that we may incur in connection with the securities being registered hereby.</w:t>
      </w:r>
    </w:p>
    <w:tbl>
      <w:tblPr>
        <w:tblW w:w="5125" w:type="dxa"/>
        <w:jc w:val="left"/>
        <w:tblInd w:w="0" w:type="dxa"/>
        <w:tblLayout w:type="fixed"/>
        <w:tblCellMar>
          <w:top w:w="28" w:type="dxa"/>
          <w:left w:w="28" w:type="dxa"/>
          <w:bottom w:w="28" w:type="dxa"/>
          <w:right w:w="28" w:type="dxa"/>
        </w:tblCellMar>
      </w:tblPr>
      <w:tblGrid>
        <w:gridCol w:w="1268"/>
        <w:gridCol w:w="1111"/>
        <w:gridCol w:w="1116"/>
        <w:gridCol w:w="109"/>
        <w:gridCol w:w="109"/>
        <w:gridCol w:w="109"/>
        <w:gridCol w:w="310"/>
        <w:gridCol w:w="310"/>
        <w:gridCol w:w="311"/>
        <w:gridCol w:w="109"/>
        <w:gridCol w:w="109"/>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24,119.83</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Blue Sky, qualification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agent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 agent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0"/>
              <w:jc w:val="right"/>
              <w:rPr/>
            </w:pPr>
            <w:r>
              <w:rPr/>
            </w:r>
          </w:p>
        </w:tc>
        <w:tc>
          <w:tcPr>
            <w:tcW w:w="3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 accordance with Rule 415(a)(6), includes certain fees previously paid in respect of unsold securities previously registered under the registrant’s registration statements on Form S-1 (File Nos. 333-271176 and 333-282583), as further described in the Filing Fee Table included as Exhibit 107 hereto.</w:t>
      </w:r>
    </w:p>
    <w:p>
      <w:pPr>
        <w:pStyle w:val="TextBody"/>
        <w:bidi w:val="0"/>
        <w:spacing w:before="0" w:after="0"/>
        <w:ind w:left="0" w:right="0" w:hanging="360"/>
        <w:jc w:val="both"/>
        <w:rPr/>
      </w:pPr>
      <w:r>
        <w:rPr/>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(2)These fees are calculated based on the securities offered and the number of issuances and accordingly cannot be estimated at this time.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 further provides that to the extent a director or officer of a corporation has been successful on the merits or otherwise in the defense of any action, suit or proceeding referred to in subsections (a) and (b) of Section </w:t>
      </w:r>
    </w:p>
    <w:p>
      <w:pPr>
        <w:pStyle w:val="TextBody"/>
        <w:bidi w:val="0"/>
        <w:spacing w:before="0" w:after="18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direct and indirect costs, fees and expenses of any type or nature whatsoever, including all other disbursements, obligations or expenses of the types customarily incurred in connection with prosecuting, defending, preparing to prosecute or defend, investigating, being or preparing to be witness in, settlement or appeal of, or otherwise participating in any threatened, pending or completed action, suit, claim, counterclaim, cross claim, arbitration, mediation, alternate dispute resolution mechanism, investigation, inquiry, administrative hearing or any other actual, threatened or completed proceeding. The indemnification agreements also require us to advance, to the extent not prohibited by law, all direct and indirect costs, fees and expenses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278"/>
        <w:gridCol w:w="244"/>
        <w:gridCol w:w="246"/>
        <w:gridCol w:w="109"/>
        <w:gridCol w:w="109"/>
        <w:gridCol w:w="109"/>
        <w:gridCol w:w="2668"/>
        <w:gridCol w:w="2651"/>
        <w:gridCol w:w="3791"/>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Certificate of Incorporation of the Registrant, incorporated herein by reference to Exhibit 3.1 to the Registrant’s Current Report on Form 8-K filed on November 7, 2008.</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Certificate of Amendment to Certificate Incorporation of the Company, incorporated herein by reference to Exhibit 3.1 to the Registrant’s Current Report on Form 8-K filed on November 16, 2022.</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Certificate of Amendment to Certificate Incorporation of the Company, incorporated herein by reference to Exhibit 3.1 to the Registrant’s Current Report on Form 8-K filed on August 21, 2024.</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Certificate of Designations of Lifecore Biomedical, Inc., dated January 9, 2023, incorporated herein by reference to Exhibit 3.1 to the Registrant’s Current Report on Form 8-K filed on January 10, 2023.</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Amended and Restated By-Laws of the Registrant, incorporated herein by reference to Exhibit 3.1 to the Registrant’s Current Report on Form 8-K filed on October 16, 2012.</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 xml:space="preserve">Amendment No. 1 to By-Laws of the Registrant, incorporated herein by reference to Exhibit 3.1 to the Registrant’s Current Report on Form 8-K filed on May 7, 2019. </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 xml:space="preserve">Amendment No. 2 to By-Laws of the Registrant, incorporated herein by reference to Exhibit 3.1 to the Registrant’s Current Report on Form 8-K filed on May 24, 2019. </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Amendment No. 3 to By-Laws of the Registrant, incorporated herein by reference to Exhibit 3.1 to the Registrant’s Current Report on Form 8-K filed on October 19, 2020.</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Amendment No. 4 to By-Laws of the Registrant, incorporated herein by reference to Exhibit 3.2 to the Registrant’s Current Report on Form 8-K filed on November 16, 2022.</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of Warrant.</w:t>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of Warrant Agreement.</w:t>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htm">
              <w:r>
                <w:rPr>
                  <w:rStyle w:val="InternetLink"/>
                  <w:rFonts w:ascii="Times New Roman;serif" w:hAnsi="Times New Roman;serif"/>
                  <w:b w:val="false"/>
                  <w:color w:val="0000FF"/>
                  <w:sz w:val="20"/>
                  <w:u w:val="single"/>
                </w:rPr>
                <w:t>Opinion of Latham &amp; Watkins LLP.</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Securities Purchase Agreement, dated November 25, 2022, by and among the Company and the purchasers named therein, incorporated by reference to Exhibit 10.1 to the Registrant’s Current Report on Form 8-K filed on November 25, 2022.</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Securities Purchase Agreement, dated January 9, 2023, by and between Lifecore Biomedical, Inc. and the purchasers named therein, incorporated by reference to Exhibit 10.1 to the Registrant’s Current Report on Form 8-K filed on January 10, 2023.</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Registration Rights Agreement, dated January 9, 2023, by and between Lifecore Biomedical, Inc. and the other parties thereto, incorporated by reference to Exhibit 10.2 to the Registrant’s Current Report on Form 8-K filed on January 10, 2023.</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Stock Purchase Agreement, dated October 3, 2024, by and among the Company and the purchasers named therein, incorporated by reference to Exhibit 10.1 to the Registrant’s Current Report on Form 8-K filed on October 4, 2024.</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htm">
              <w:r>
                <w:rPr>
                  <w:rStyle w:val="InternetLink"/>
                  <w:rFonts w:ascii="Times New Roman;serif" w:hAnsi="Times New Roman;serif"/>
                  <w:b w:val="false"/>
                  <w:color w:val="0000FF"/>
                  <w:sz w:val="20"/>
                  <w:u w:val="single"/>
                </w:rPr>
                <w:t>Consent of Latham &amp; Watkins LLP (included in Exhibit 5.1)</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sx3.htm">
              <w:r>
                <w:rPr>
                  <w:rStyle w:val="InternetLink"/>
                  <w:rFonts w:ascii="Times New Roman;serif" w:hAnsi="Times New Roman;serif"/>
                  <w:b w:val="false"/>
                  <w:color w:val="0000FF"/>
                  <w:sz w:val="20"/>
                  <w:u w:val="single"/>
                </w:rPr>
                <w:t>Consent of Independent Registered Public Accounting Firm.</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c7df6d624e4f55bd835299b1ddb3bb_913">
              <w:r>
                <w:rPr>
                  <w:rStyle w:val="InternetLink"/>
                  <w:rFonts w:ascii="Times New Roman;serif" w:hAnsi="Times New Roman;serif"/>
                  <w:b w:val="false"/>
                  <w:color w:val="0000FF"/>
                  <w:sz w:val="20"/>
                  <w:u w:val="single"/>
                </w:rPr>
                <w:t>Powers of Attorney (incorporated by reference to the signature page hereto).</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cr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*To be filed by amendment or incorporated by reference in connection with the offering of the securities,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 of 1933;</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jc w:val="both"/>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paragraphs (a)(1)(i)(ii), and (iii)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(5)That, for the purpose of determining liability under the Securities Act of 1933 to any purchaser: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both"/>
        <w:rPr/>
      </w:pPr>
      <w:r>
        <w:rPr>
          <w:rFonts w:ascii="Times New Roman;serif" w:hAnsi="Times New Roman;serif"/>
          <w:b w:val="false"/>
          <w:color w:val="000000"/>
          <w:sz w:val="20"/>
        </w:rPr>
        <w:t xml:space="preserve">(B)Each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no statement made in a registration statement or prospectus that is part of the registration statement or made in a document incorporated or deemed incorporated by reference </w:t>
      </w:r>
    </w:p>
    <w:p>
      <w:pPr>
        <w:pStyle w:val="TextBody"/>
        <w:bidi w:val="0"/>
        <w:spacing w:before="0" w:after="18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both"/>
        <w:rPr/>
      </w:pPr>
      <w:r>
        <w:rPr>
          <w:rFonts w:ascii="Times New Roman;serif" w:hAnsi="Times New Roman;serif"/>
          <w:b w:val="false"/>
          <w:color w:val="000000"/>
          <w:sz w:val="20"/>
        </w:rPr>
        <w:t xml:space="preserve">(b)The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Chaska, State of Minnesota on </w:t>
      </w:r>
      <w:r>
        <w:rPr>
          <w:rFonts w:ascii="Times New Roman;serif" w:hAnsi="Times New Roman;serif"/>
          <w:b w:val="false"/>
          <w:color w:val="000000"/>
          <w:sz w:val="20"/>
        </w:rPr>
        <w:t>September 22, 2025</w:t>
      </w:r>
      <w:r>
        <w:rPr>
          <w:rFonts w:ascii="Times New Roman;serif" w:hAnsi="Times New Roman;serif"/>
          <w:b w:val="false"/>
          <w:color w:val="000000"/>
          <w:sz w:val="20"/>
          <w:shd w:fill="FFFFFF" w:val="clear"/>
        </w:rPr>
        <w:t>.</w:t>
      </w:r>
    </w:p>
    <w:tbl>
      <w:tblPr>
        <w:tblW w:w="3442" w:type="dxa"/>
        <w:jc w:val="right"/>
        <w:tblInd w:w="0" w:type="dxa"/>
        <w:tblLayout w:type="fixed"/>
        <w:tblCellMar>
          <w:top w:w="28" w:type="dxa"/>
          <w:left w:w="28" w:type="dxa"/>
          <w:bottom w:w="28" w:type="dxa"/>
          <w:right w:w="28" w:type="dxa"/>
        </w:tblCellMar>
      </w:tblPr>
      <w:tblGrid>
        <w:gridCol w:w="519"/>
        <w:gridCol w:w="457"/>
        <w:gridCol w:w="457"/>
        <w:gridCol w:w="587"/>
        <w:gridCol w:w="587"/>
        <w:gridCol w:w="835"/>
      </w:tblGrid>
      <w:tr>
        <w:trPr/>
        <w:tc>
          <w:tcPr>
            <w:tcW w:w="5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LIFECORE BIOMEDICAL, INC.</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D. Lake</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D. Lake</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undersigned officers and directors of the registrant hereby severally constitutes and appoints Paul Josephs, Ryan Lake and Tom Salus,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 </w:t>
      </w:r>
    </w:p>
    <w:p>
      <w:pPr>
        <w:pStyle w:val="TextBody"/>
        <w:bidi w:val="0"/>
        <w:spacing w:before="0" w:after="18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Act of 1933, this registration statement has been signed by the following persons in the capacities and on the dates indicated.</w:t>
      </w:r>
    </w:p>
    <w:tbl>
      <w:tblPr>
        <w:tblW w:w="9801" w:type="dxa"/>
        <w:jc w:val="left"/>
        <w:tblInd w:w="0" w:type="dxa"/>
        <w:tblLayout w:type="fixed"/>
        <w:tblCellMar>
          <w:top w:w="28" w:type="dxa"/>
          <w:left w:w="28" w:type="dxa"/>
          <w:bottom w:w="28" w:type="dxa"/>
          <w:right w:w="28" w:type="dxa"/>
        </w:tblCellMar>
      </w:tblPr>
      <w:tblGrid>
        <w:gridCol w:w="765"/>
        <w:gridCol w:w="673"/>
        <w:gridCol w:w="676"/>
        <w:gridCol w:w="109"/>
        <w:gridCol w:w="109"/>
        <w:gridCol w:w="109"/>
        <w:gridCol w:w="1747"/>
        <w:gridCol w:w="1747"/>
        <w:gridCol w:w="1770"/>
        <w:gridCol w:w="109"/>
        <w:gridCol w:w="109"/>
        <w:gridCol w:w="109"/>
        <w:gridCol w:w="516"/>
        <w:gridCol w:w="516"/>
        <w:gridCol w:w="737"/>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Josephs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22,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Paul Josephs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D. Lake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22,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Ryan D. Lake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Humberto C. Antunes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22,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Humberto C. Antunes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Aryeh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22,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Aryeh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Katrina L. Houde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22,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Katrina L. Houde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H.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22,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Paul H.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Kiper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22,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Kiper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Korenberg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22,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Korenberg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Nelson Obus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22,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Nelson Obus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Joshua E. Schechter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22, 2025</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Joshua E. Schechter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lfcrfilingfees.htm"/>
      <w:bookmarkStart w:id="1" w:name="kslfcrfilingfees"/>
      <w:bookmarkStart w:id="2" w:name="lfcrfilingfees.htm"/>
      <w:bookmarkStart w:id="3" w:name="kslfcrfilingfees"/>
      <w:bookmarkEnd w:id="2"/>
      <w:bookmarkEnd w:id="3"/>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tbl>
      <w:tblPr>
        <w:tblW w:w="4445" w:type="dxa"/>
        <w:jc w:val="left"/>
        <w:tblInd w:w="0" w:type="dxa"/>
        <w:tblLayout w:type="fixed"/>
        <w:tblCellMar>
          <w:top w:w="28" w:type="dxa"/>
          <w:left w:w="28" w:type="dxa"/>
          <w:bottom w:w="28" w:type="dxa"/>
          <w:right w:w="28" w:type="dxa"/>
        </w:tblCellMar>
      </w:tblPr>
      <w:tblGrid>
        <w:gridCol w:w="4291"/>
        <w:gridCol w:w="154"/>
      </w:tblGrid>
      <w:tr>
        <w:trPr/>
        <w:tc>
          <w:tcPr>
            <w:tcW w:w="44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29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283"/>
              <w:jc w:val="left"/>
              <w:rPr>
                <w:b/>
              </w:rPr>
            </w:pPr>
            <w:r>
              <w:rPr>
                <w:b/>
              </w:rPr>
              <w:t xml:space="preserve">LIFECORE BIOMEDICAL, INC. \DE\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54" w:type="dxa"/>
        <w:jc w:val="left"/>
        <w:tblInd w:w="0" w:type="dxa"/>
        <w:tblLayout w:type="fixed"/>
        <w:tblCellMar>
          <w:top w:w="28" w:type="dxa"/>
          <w:left w:w="28" w:type="dxa"/>
          <w:bottom w:w="28" w:type="dxa"/>
          <w:right w:w="28" w:type="dxa"/>
        </w:tblCellMar>
      </w:tblPr>
      <w:tblGrid>
        <w:gridCol w:w="1126"/>
        <w:gridCol w:w="226"/>
        <w:gridCol w:w="12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$ 150,000,000.00 </w:t>
            </w:r>
          </w:p>
        </w:tc>
        <w:tc>
          <w:tcPr>
            <w:tcW w:w="1126" w:type="dxa"/>
            <w:tcBorders/>
            <w:shd w:fill="E7E7E2" w:val="clear"/>
            <w:vAlign w:val="center"/>
          </w:tcPr>
          <w:p>
            <w:pPr>
              <w:pStyle w:val="TableContents"/>
              <w:bidi w:val="0"/>
              <w:spacing w:before="0" w:after="283"/>
              <w:jc w:val="right"/>
              <w:rPr/>
            </w:pPr>
            <w:r>
              <w:rPr/>
              <w:t xml:space="preserve">0.0001531 </w:t>
            </w:r>
          </w:p>
        </w:tc>
        <w:tc>
          <w:tcPr>
            <w:tcW w:w="1351" w:type="dxa"/>
            <w:tcBorders/>
            <w:shd w:fill="E7E7E2" w:val="clear"/>
            <w:vAlign w:val="center"/>
          </w:tcPr>
          <w:p>
            <w:pPr>
              <w:pStyle w:val="TableContents"/>
              <w:bidi w:val="0"/>
              <w:spacing w:before="0" w:after="283"/>
              <w:jc w:val="right"/>
              <w:rPr/>
            </w:pPr>
            <w:r>
              <w:rPr/>
              <w:t xml:space="preserve">$ 22,965.00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993,807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$ 7,542,991.34 </w:t>
            </w:r>
          </w:p>
        </w:tc>
        <w:tc>
          <w:tcPr>
            <w:tcW w:w="1126" w:type="dxa"/>
            <w:tcBorders/>
            <w:shd w:fill="E7E7E2" w:val="clear"/>
            <w:vAlign w:val="center"/>
          </w:tcPr>
          <w:p>
            <w:pPr>
              <w:pStyle w:val="TableContents"/>
              <w:bidi w:val="0"/>
              <w:spacing w:before="0" w:after="283"/>
              <w:jc w:val="right"/>
              <w:rPr/>
            </w:pPr>
            <w:r>
              <w:rPr/>
              <w:t xml:space="preserve">0.0001531 </w:t>
            </w:r>
          </w:p>
        </w:tc>
        <w:tc>
          <w:tcPr>
            <w:tcW w:w="1351" w:type="dxa"/>
            <w:tcBorders/>
            <w:shd w:fill="E7E7E2" w:val="clear"/>
            <w:vAlign w:val="center"/>
          </w:tcPr>
          <w:p>
            <w:pPr>
              <w:pStyle w:val="TableContents"/>
              <w:bidi w:val="0"/>
              <w:spacing w:before="0" w:after="283"/>
              <w:jc w:val="right"/>
              <w:rPr/>
            </w:pPr>
            <w:r>
              <w:rPr/>
              <w:t xml:space="preserve">$ 1,154.83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3 </w:t>
            </w:r>
          </w:p>
        </w:tc>
        <w:tc>
          <w:tcPr>
            <w:tcW w:w="12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right"/>
              <w:rPr/>
            </w:pPr>
            <w:r>
              <w:rPr/>
              <w:t xml:space="preserve">12,667,486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$ 47,123,047.92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S-1 </w:t>
            </w:r>
          </w:p>
        </w:tc>
        <w:tc>
          <w:tcPr>
            <w:tcW w:w="1021" w:type="dxa"/>
            <w:tcBorders/>
            <w:shd w:fill="E7E7E2" w:val="clear"/>
            <w:vAlign w:val="center"/>
          </w:tcPr>
          <w:p>
            <w:pPr>
              <w:pStyle w:val="TableContents"/>
              <w:bidi w:val="0"/>
              <w:spacing w:before="0" w:after="283"/>
              <w:jc w:val="center"/>
              <w:rPr/>
            </w:pPr>
            <w:r>
              <w:rPr/>
              <w:t xml:space="preserve">333-271176 </w:t>
            </w:r>
          </w:p>
        </w:tc>
        <w:tc>
          <w:tcPr>
            <w:tcW w:w="1021" w:type="dxa"/>
            <w:tcBorders/>
            <w:shd w:fill="E7E7E2" w:val="clear"/>
            <w:vAlign w:val="center"/>
          </w:tcPr>
          <w:p>
            <w:pPr>
              <w:pStyle w:val="TableContents"/>
              <w:bidi w:val="0"/>
              <w:spacing w:before="0" w:after="283"/>
              <w:jc w:val="center"/>
              <w:rPr/>
            </w:pPr>
            <w:r>
              <w:rPr/>
              <w:t xml:space="preserve">10/15/2024 </w:t>
            </w:r>
          </w:p>
        </w:tc>
        <w:tc>
          <w:tcPr>
            <w:tcW w:w="1321" w:type="dxa"/>
            <w:tcBorders/>
            <w:shd w:fill="E7E7E2" w:val="clear"/>
            <w:vAlign w:val="center"/>
          </w:tcPr>
          <w:p>
            <w:pPr>
              <w:pStyle w:val="TableContents"/>
              <w:bidi w:val="0"/>
              <w:spacing w:before="0" w:after="283"/>
              <w:jc w:val="right"/>
              <w:rPr/>
            </w:pPr>
            <w:r>
              <w:rPr/>
              <w:t xml:space="preserve">$ 5,192.96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4 </w:t>
            </w:r>
          </w:p>
        </w:tc>
        <w:tc>
          <w:tcPr>
            <w:tcW w:w="12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right"/>
              <w:rPr/>
            </w:pPr>
            <w:r>
              <w:rPr/>
              <w:t xml:space="preserve">6,795,344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$ 33,704,906.24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S-1 </w:t>
            </w:r>
          </w:p>
        </w:tc>
        <w:tc>
          <w:tcPr>
            <w:tcW w:w="1021" w:type="dxa"/>
            <w:tcBorders/>
            <w:shd w:fill="E7E7E2" w:val="clear"/>
            <w:vAlign w:val="center"/>
          </w:tcPr>
          <w:p>
            <w:pPr>
              <w:pStyle w:val="TableContents"/>
              <w:bidi w:val="0"/>
              <w:spacing w:before="0" w:after="283"/>
              <w:jc w:val="center"/>
              <w:rPr/>
            </w:pPr>
            <w:r>
              <w:rPr/>
              <w:t xml:space="preserve">333-282583 </w:t>
            </w:r>
          </w:p>
        </w:tc>
        <w:tc>
          <w:tcPr>
            <w:tcW w:w="1021" w:type="dxa"/>
            <w:tcBorders/>
            <w:shd w:fill="E7E7E2" w:val="clear"/>
            <w:vAlign w:val="center"/>
          </w:tcPr>
          <w:p>
            <w:pPr>
              <w:pStyle w:val="TableContents"/>
              <w:bidi w:val="0"/>
              <w:spacing w:before="0" w:after="283"/>
              <w:jc w:val="center"/>
              <w:rPr/>
            </w:pPr>
            <w:r>
              <w:rPr/>
              <w:t xml:space="preserve">10/22/2024 </w:t>
            </w:r>
          </w:p>
        </w:tc>
        <w:tc>
          <w:tcPr>
            <w:tcW w:w="1321" w:type="dxa"/>
            <w:tcBorders/>
            <w:shd w:fill="E7E7E2" w:val="clear"/>
            <w:vAlign w:val="center"/>
          </w:tcPr>
          <w:p>
            <w:pPr>
              <w:pStyle w:val="TableContents"/>
              <w:bidi w:val="0"/>
              <w:spacing w:before="0" w:after="283"/>
              <w:jc w:val="right"/>
              <w:rPr/>
            </w:pPr>
            <w:r>
              <w:rPr/>
              <w:t xml:space="preserve">$ 5,160.22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 w:name="MaxAggtOfferingPrice"/>
            <w:bookmarkEnd w:id="4"/>
            <w:r>
              <w:rPr/>
              <w:t xml:space="preserve">$ 238,370,945.50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$ 24,119.83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$ 24,119.83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405"/>
        <w:gridCol w:w="860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An unspecified number of securities is being registered as may from time to time be offered at unspecified prices. 1b. Includes rights to acquire common stock of the registrant under any shareholder rights plan then in effect, if applicable under the terms of any such plan. 1c. Estimated solely for the purpose of calculating the registration fee. No separate consideration will be received for shares of common stock that are issued upon exercise of common stock warrants registered hereunder. </w:t>
            </w:r>
          </w:p>
        </w:tc>
      </w:tr>
      <w:tr>
        <w:trPr/>
        <w:tc>
          <w:tcPr>
            <w:tcW w:w="1605" w:type="dxa"/>
            <w:gridSpan w:val="2"/>
            <w:tcBorders/>
            <w:vAlign w:val="center"/>
          </w:tcPr>
          <w:p>
            <w:pPr>
              <w:pStyle w:val="HorizontalLine"/>
              <w:pBdr>
                <w:bottom w:val="double" w:sz="2" w:space="0" w:color="808080"/>
              </w:pBdr>
              <w:bidi w:val="0"/>
              <w:spacing w:before="0" w:after="283"/>
              <w:jc w:val="left"/>
              <w:rPr/>
            </w:pPr>
            <w:r>
              <w:rPr/>
            </w:r>
          </w:p>
        </w:tc>
        <w:tc>
          <w:tcPr>
            <w:tcW w:w="8600"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2a. Represents shares of common stock issuable upon the conversion of outstanding shares of Series A Convertible Preferred Stock. 2b. Pursuant to Rule 457(c) under the Securities Act, and solely for the purpose of calculating the registration fee, the proposed maximum offering price per unit is the average of the high and low prices reported for the registrant's common stock quoted on the Nasdaq Global Select Market on September [15], 2025.] </w:t>
            </w:r>
          </w:p>
        </w:tc>
      </w:tr>
      <w:tr>
        <w:trPr/>
        <w:tc>
          <w:tcPr>
            <w:tcW w:w="1605" w:type="dxa"/>
            <w:gridSpan w:val="2"/>
            <w:tcBorders/>
            <w:vAlign w:val="center"/>
          </w:tcPr>
          <w:p>
            <w:pPr>
              <w:pStyle w:val="HorizontalLine"/>
              <w:pBdr>
                <w:bottom w:val="double" w:sz="2" w:space="0" w:color="808080"/>
              </w:pBdr>
              <w:bidi w:val="0"/>
              <w:spacing w:before="0" w:after="283"/>
              <w:jc w:val="left"/>
              <w:rPr/>
            </w:pPr>
            <w:r>
              <w:rPr/>
            </w:r>
          </w:p>
        </w:tc>
        <w:tc>
          <w:tcPr>
            <w:tcW w:w="8600"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3a. The registrant previously registered the offer and sale of 12,667,486 shares of common stock pursuant to a registration statement on Form S-1 (File No. 333-271176) initially filed with the Securities and Exchange Commission (the "Commission") on April 6, 2023 (the "2023 Registration Statement"), all of which remain unsold (the "2023 Unsold Securities"), and, in connection therewith, paid a filing fee of $5,192.96. Pursuant to Rule 415(a)(6) under the Securities Act of 1933, as amended (the "Securities Act"), the securities registered pursuant to this registration statement include the 2023 Unsold Securities, and the filing fee associated therewith (which amount is based on the filing fee rate in effect at the time of the filing of the 2023 Registration Statement) is hereby carried forward to be applied to the 2023 Unsold Securities and no additional filing fee is due with respect thereto. Pursuant to Rule 415(a)(6), the offering of the 2023 Unsold Securities pursuant to the 2023 Registration Statement shall be deemed terminated as of the date of the effective date of this registration statement. </w:t>
            </w:r>
          </w:p>
        </w:tc>
      </w:tr>
      <w:tr>
        <w:trPr/>
        <w:tc>
          <w:tcPr>
            <w:tcW w:w="1605" w:type="dxa"/>
            <w:gridSpan w:val="2"/>
            <w:tcBorders/>
            <w:vAlign w:val="center"/>
          </w:tcPr>
          <w:p>
            <w:pPr>
              <w:pStyle w:val="HorizontalLine"/>
              <w:pBdr>
                <w:bottom w:val="double" w:sz="2" w:space="0" w:color="808080"/>
              </w:pBdr>
              <w:bidi w:val="0"/>
              <w:spacing w:before="0" w:after="283"/>
              <w:jc w:val="left"/>
              <w:rPr/>
            </w:pPr>
            <w:r>
              <w:rPr/>
            </w:r>
          </w:p>
        </w:tc>
        <w:tc>
          <w:tcPr>
            <w:tcW w:w="8600"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5" w:type="dxa"/>
            <w:gridSpan w:val="2"/>
            <w:tcBorders/>
            <w:vAlign w:val="center"/>
          </w:tcPr>
          <w:p>
            <w:pPr>
              <w:pStyle w:val="TableContents"/>
              <w:bidi w:val="0"/>
              <w:spacing w:before="0" w:after="283"/>
              <w:jc w:val="left"/>
              <w:rPr/>
            </w:pPr>
            <w:r>
              <w:rPr/>
              <w:t xml:space="preserve">4a. The registrant previously registered the offer and sale of 6,795,344 shares of common stock pursuant to a registration statement on Form S-1 (File No. 333-282583) initially filed with the Commission on April 10, 2024 (the "2024 Registration Statement"), all of which remain unsold (the "2024 Unsold Securities"), and, in connection therewith, paid a filing fee of $5,160.22. Pursuant to Rule 415(a)(6) under the Securities Act, the securities registered pursuant to this registration statement include the 2024 Unsold Securities, and the filing fee associated therewith (which amount is based on the filing fee rate in effect at the time of the filing of the 2024 Registration Statement) is hereby carried forward to be applied to the 2024 Unsold Securities and no additional filing fee is due with respect thereto. Pursuant to Rule 415(a)(6), the offering of the 2024 Unsold Securities pursuant to the 2024 Registration Statement shall be deemed terminated as of the date of the effective date of this registration statement. </w:t>
            </w:r>
          </w:p>
        </w:tc>
      </w:tr>
      <w:tr>
        <w:trPr/>
        <w:tc>
          <w:tcPr>
            <w:tcW w:w="1605" w:type="dxa"/>
            <w:gridSpan w:val="2"/>
            <w:tcBorders/>
            <w:vAlign w:val="center"/>
          </w:tcPr>
          <w:p>
            <w:pPr>
              <w:pStyle w:val="HorizontalLine"/>
              <w:pBdr>
                <w:bottom w:val="double" w:sz="2" w:space="0" w:color="808080"/>
              </w:pBdr>
              <w:bidi w:val="0"/>
              <w:spacing w:before="0" w:after="283"/>
              <w:jc w:val="left"/>
              <w:rPr/>
            </w:pPr>
            <w:r>
              <w:rPr/>
            </w:r>
          </w:p>
        </w:tc>
        <w:tc>
          <w:tcPr>
            <w:tcW w:w="860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tbl>
      <w:tblPr>
        <w:tblW w:w="3519" w:type="dxa"/>
        <w:jc w:val="left"/>
        <w:tblInd w:w="0" w:type="dxa"/>
        <w:tblLayout w:type="fixed"/>
        <w:tblCellMar>
          <w:top w:w="28" w:type="dxa"/>
          <w:left w:w="28" w:type="dxa"/>
          <w:bottom w:w="28" w:type="dxa"/>
          <w:right w:w="28" w:type="dxa"/>
        </w:tblCellMar>
      </w:tblPr>
      <w:tblGrid>
        <w:gridCol w:w="124"/>
        <w:gridCol w:w="109"/>
        <w:gridCol w:w="109"/>
        <w:gridCol w:w="467"/>
        <w:gridCol w:w="467"/>
        <w:gridCol w:w="467"/>
        <w:gridCol w:w="467"/>
        <w:gridCol w:w="467"/>
        <w:gridCol w:w="47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6"/>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650 Town Center Drive, 20th Floor</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Costa Mesa, California 92626-1925</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Tel: +1.714.540.1235 Fax: +1.714.755.8290</w:t>
            </w:r>
          </w:p>
          <w:p>
            <w:pPr>
              <w:pStyle w:val="TableContents"/>
              <w:bidi w:val="0"/>
              <w:spacing w:lineRule="auto" w:line="288" w:before="0" w:after="120"/>
              <w:jc w:val="left"/>
              <w:rPr>
                <w:rFonts w:ascii="Arial;sans-serif" w:hAnsi="Arial;sans-serif"/>
                <w:b w:val="false"/>
                <w:color w:val="000000"/>
                <w:sz w:val="14"/>
              </w:rPr>
            </w:pPr>
            <w:r>
              <w:rPr>
                <w:rFonts w:ascii="Arial;sans-serif" w:hAnsi="Arial;sans-serif"/>
                <w:b w:val="false"/>
                <w:color w:val="000000"/>
                <w:sz w:val="14"/>
              </w:rPr>
              <w:t>www.lw.com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1325"/>
        <w:gridCol w:w="1165"/>
        <w:gridCol w:w="1166"/>
        <w:gridCol w:w="303"/>
        <w:gridCol w:w="303"/>
        <w:gridCol w:w="303"/>
        <w:gridCol w:w="391"/>
        <w:gridCol w:w="391"/>
        <w:gridCol w:w="403"/>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vMerge w:val="restart"/>
            <w:tcBorders/>
            <w:tcMar>
              <w:top w:w="0" w:type="dxa"/>
              <w:left w:w="0" w:type="dxa"/>
              <w:bottom w:w="0" w:type="dxa"/>
              <w:right w:w="0" w:type="dxa"/>
            </w:tcMar>
            <w:vAlign w:val="center"/>
          </w:tcPr>
          <w:p>
            <w:pPr>
              <w:pStyle w:val="TableContents"/>
              <w:bidi w:val="0"/>
              <w:spacing w:before="0" w:after="1360"/>
              <w:jc w:val="left"/>
              <w:rPr/>
            </w:pPr>
            <w:r>
              <w:rPr/>
              <w:drawing>
                <wp:inline distT="0" distB="0" distL="0" distR="0">
                  <wp:extent cx="2257425" cy="152400"/>
                  <wp:effectExtent l="0" t="0" r="0" b="0"/>
                  <wp:docPr id="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 descr=""/>
                          <pic:cNvPicPr>
                            <a:picLocks noChangeAspect="1" noChangeArrowheads="1"/>
                          </pic:cNvPicPr>
                        </pic:nvPicPr>
                        <pic:blipFill>
                          <a:blip r:embed="rId38"/>
                          <a:stretch>
                            <a:fillRect/>
                          </a:stretch>
                        </pic:blipFill>
                        <pic:spPr bwMode="auto">
                          <a:xfrm>
                            <a:off x="0" y="0"/>
                            <a:ext cx="2257425" cy="152400"/>
                          </a:xfrm>
                          <a:prstGeom prst="rect">
                            <a:avLst/>
                          </a:prstGeom>
                        </pic:spPr>
                      </pic:pic>
                    </a:graphicData>
                  </a:graphic>
                </wp:inline>
              </w:drawing>
            </w:r>
          </w:p>
          <w:p>
            <w:pPr>
              <w:pStyle w:val="TableContents"/>
              <w:bidi w:val="0"/>
              <w:spacing w:lineRule="auto" w:line="240" w:before="0" w:after="720"/>
              <w:jc w:val="both"/>
              <w:rPr>
                <w:rFonts w:ascii="Times New Roman;serif" w:hAnsi="Times New Roman;serif"/>
                <w:b w:val="false"/>
                <w:color w:val="000000"/>
                <w:sz w:val="24"/>
              </w:rPr>
            </w:pPr>
            <w:r>
              <w:rPr>
                <w:rFonts w:ascii="Times New Roman;serif" w:hAnsi="Times New Roman;serif"/>
                <w:b w:val="false"/>
                <w:color w:val="000000"/>
                <w:sz w:val="24"/>
              </w:rPr>
              <w:t>September 22, 2025</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Lifecore Biomedical,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3515 Lyman Boulevard</w:t>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Chaska, Minnesota 55318</w:t>
            </w:r>
          </w:p>
        </w:tc>
        <w:tc>
          <w:tcPr>
            <w:tcW w:w="2094" w:type="dxa"/>
            <w:gridSpan w:val="6"/>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FIRM / AFFILIATE OFFICES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Austin</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Beijing</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Boston</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Brussels</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Chicago</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Dubai</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Düsseldorf</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Frankfurt</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Hamburg</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Hong Kong</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Houston</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London</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Los Angeles</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Madrid</w:t>
            </w:r>
          </w:p>
        </w:tc>
        <w:tc>
          <w:tcPr>
            <w:tcW w:w="118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Milan</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Munich</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New York</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Orange County</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Paris</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Riyadh</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San Diego</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San Francisco</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Seoul</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Silicon Valley</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Singapore</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Tel Aviv</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Tokyo</w:t>
            </w:r>
          </w:p>
          <w:p>
            <w:pPr>
              <w:pStyle w:val="TableContents"/>
              <w:bidi w:val="0"/>
              <w:spacing w:lineRule="auto" w:line="288" w:before="0" w:after="40"/>
              <w:jc w:val="left"/>
              <w:rPr>
                <w:rFonts w:ascii="Arial;sans-serif" w:hAnsi="Arial;sans-serif"/>
                <w:b w:val="false"/>
                <w:color w:val="000000"/>
                <w:sz w:val="14"/>
              </w:rPr>
            </w:pPr>
            <w:r>
              <w:rPr>
                <w:rFonts w:ascii="Arial;sans-serif" w:hAnsi="Arial;sans-serif"/>
                <w:b w:val="false"/>
                <w:color w:val="000000"/>
                <w:sz w:val="14"/>
              </w:rPr>
              <w:t>Washington, D.C.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vMerge w:val="continue"/>
            <w:tcBorders/>
            <w:tcMar>
              <w:top w:w="0" w:type="dxa"/>
              <w:left w:w="0" w:type="dxa"/>
              <w:bottom w:w="0" w:type="dxa"/>
              <w:right w:w="0" w:type="dxa"/>
            </w:tcMar>
            <w:vAlign w:val="center"/>
          </w:tcPr>
          <w:p>
            <w:pPr>
              <w:pStyle w:val="Normal"/>
              <w:bidi w:val="0"/>
              <w:jc w:val="left"/>
              <w:rPr/>
            </w:pPr>
            <w:r>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4"/>
        </w:rPr>
        <w:t>Re:    </w:t>
      </w:r>
      <w:r>
        <w:rPr>
          <w:rFonts w:ascii="Times New Roman;serif" w:hAnsi="Times New Roman;serif"/>
          <w:b w:val="false"/>
          <w:color w:val="000000"/>
          <w:sz w:val="24"/>
          <w:u w:val="single"/>
        </w:rPr>
        <w:t>Registration Statement on Form S-3</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We have acted as special counsel to Lifecore Biomedical,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its filing on the date hereof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of a registration statement on Form S-3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including (a) primary prospectus (the “</w:t>
      </w:r>
      <w:r>
        <w:rPr>
          <w:rFonts w:ascii="Times New Roman;serif" w:hAnsi="Times New Roman;serif"/>
          <w:b/>
          <w:i/>
          <w:color w:val="000000"/>
          <w:sz w:val="24"/>
        </w:rPr>
        <w:t>Primary Prospectus</w:t>
      </w:r>
      <w:r>
        <w:rPr>
          <w:color w:val="000000"/>
        </w:rPr>
        <w:t>”</w:t>
      </w:r>
      <w:r>
        <w:rPr>
          <w:rFonts w:ascii="Times New Roman;serif" w:hAnsi="Times New Roman;serif"/>
          <w:b w:val="false"/>
          <w:color w:val="000000"/>
          <w:sz w:val="24"/>
        </w:rPr>
        <w:t>), which provides that it will be supplemented by one or more prospectus supplements (each such prospectus supplement, together with the Primary Prospectus, a “</w:t>
      </w:r>
      <w:r>
        <w:rPr>
          <w:rFonts w:ascii="Times New Roman;serif" w:hAnsi="Times New Roman;serif"/>
          <w:b/>
          <w:i/>
          <w:color w:val="000000"/>
          <w:sz w:val="24"/>
        </w:rPr>
        <w:t>Prospectus</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 relating to the registration for issue and sale by the Company of up to $150,000,000 aggregate offering amount of shares of the Company’s common stock, $0.0001 par value per share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and warrants (“</w:t>
      </w:r>
      <w:r>
        <w:rPr>
          <w:rFonts w:ascii="Times New Roman;serif" w:hAnsi="Times New Roman;serif"/>
          <w:b/>
          <w:i/>
          <w:color w:val="000000"/>
          <w:sz w:val="24"/>
        </w:rPr>
        <w:t>Warrants</w:t>
      </w:r>
      <w:r>
        <w:rPr>
          <w:color w:val="000000"/>
        </w:rPr>
        <w:t>”</w:t>
      </w:r>
      <w:r>
        <w:rPr>
          <w:rFonts w:ascii="Times New Roman;serif" w:hAnsi="Times New Roman;serif"/>
          <w:b w:val="false"/>
          <w:color w:val="000000"/>
          <w:sz w:val="24"/>
        </w:rPr>
        <w:t>), and (b) a resale prospectus (the “</w:t>
      </w:r>
      <w:r>
        <w:rPr>
          <w:rFonts w:ascii="Times New Roman;serif" w:hAnsi="Times New Roman;serif"/>
          <w:b/>
          <w:i/>
          <w:color w:val="000000"/>
          <w:sz w:val="24"/>
        </w:rPr>
        <w:t>Resale Prospectus</w:t>
      </w:r>
      <w:r>
        <w:rPr>
          <w:color w:val="000000"/>
        </w:rPr>
        <w:t>”</w:t>
      </w:r>
      <w:r>
        <w:rPr>
          <w:rFonts w:ascii="Times New Roman;serif" w:hAnsi="Times New Roman;serif"/>
          <w:b w:val="false"/>
          <w:color w:val="000000"/>
          <w:sz w:val="24"/>
        </w:rPr>
        <w:t>) relating to the resale from time to time of up to 20,456,637 shares of Common Stock, including issued and outstanding shares of Common Stock and shares of Common Stock issuable upon conversion of shares of the Company’s Series A Convertible Preferred Stock, by certain securityholders of the Company (the “</w:t>
      </w:r>
      <w:r>
        <w:rPr>
          <w:rFonts w:ascii="Times New Roman;serif" w:hAnsi="Times New Roman;serif"/>
          <w:b/>
          <w:i/>
          <w:color w:val="000000"/>
          <w:sz w:val="24"/>
        </w:rPr>
        <w:t>Resale Shares</w:t>
      </w:r>
      <w:r>
        <w:rPr>
          <w:color w:val="000000"/>
        </w:rPr>
        <w:t>”</w:t>
      </w:r>
      <w:r>
        <w:rPr>
          <w:rFonts w:ascii="Times New Roman;serif" w:hAnsi="Times New Roman;serif"/>
          <w:b w:val="false"/>
          <w:color w:val="000000"/>
          <w:sz w:val="24"/>
        </w:rPr>
        <w:t>). The Common Stock, Warrants and Resale Shares, plus any additional Common Stock, Warrants and Resale Shares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Times New Roman;serif" w:hAnsi="Times New Roman;serif"/>
          <w:b/>
          <w:i/>
          <w:color w:val="000000"/>
          <w:sz w:val="24"/>
        </w:rPr>
        <w:t>Securities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being furnished in connection with the requirements of Item 601(b)(5) of Regulation S-K under the Act, and no opinion is expressed herein as to any matter pertaining to the contents of the Registration Statement or related applicable Prospectus, or the Resale Prospectus, other than as expressly stated herein with respect to the issue of the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w:t>
      </w:r>
    </w:p>
    <w:p>
      <w:pPr>
        <w:pStyle w:val="TextBody"/>
        <w:bidi w:val="0"/>
        <w:spacing w:lineRule="auto" w:line="288" w:before="0" w:after="0"/>
        <w:jc w:val="left"/>
        <w:rPr>
          <w:rFonts w:ascii="Arial;sans-serif" w:hAnsi="Arial;sans-serif"/>
          <w:b/>
          <w:color w:val="000000"/>
          <w:sz w:val="14"/>
        </w:rPr>
      </w:pPr>
      <w:r>
        <w:rPr>
          <w:rFonts w:ascii="Arial;sans-serif" w:hAnsi="Arial;sans-serif"/>
          <w:b/>
          <w:color w:val="000000"/>
          <w:sz w:val="14"/>
        </w:rPr>
        <w:t>September 22, 2025</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left"/>
        <w:rPr>
          <w:rFonts w:ascii="Arial;sans-serif" w:hAnsi="Arial;sans-serif"/>
          <w:b/>
          <w:color w:val="000000"/>
          <w:sz w:val="14"/>
        </w:rPr>
      </w:pPr>
      <w:r>
        <w:rPr>
          <w:rFonts w:ascii="Arial;sans-serif" w:hAnsi="Arial;sans-serif"/>
          <w:b/>
          <w:color w:val="000000"/>
          <w:sz w:val="14"/>
        </w:rPr>
        <w:t>Page 2</w:t>
      </w:r>
    </w:p>
    <w:p>
      <w:pPr>
        <w:pStyle w:val="TextBody"/>
        <w:bidi w:val="0"/>
        <w:spacing w:before="0" w:after="360"/>
        <w:jc w:val="left"/>
        <w:rPr/>
      </w:pPr>
      <w:r>
        <w:rPr/>
        <w:drawing>
          <wp:inline distT="0" distB="0" distL="0" distR="0">
            <wp:extent cx="1543050" cy="95250"/>
            <wp:effectExtent l="0" t="0" r="0" b="0"/>
            <wp:docPr id="5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 descr=""/>
                    <pic:cNvPicPr>
                      <a:picLocks noChangeAspect="1" noChangeArrowheads="1"/>
                    </pic:cNvPicPr>
                  </pic:nvPicPr>
                  <pic:blipFill>
                    <a:blip r:embed="rId39"/>
                    <a:stretch>
                      <a:fillRect/>
                    </a:stretch>
                  </pic:blipFill>
                  <pic:spPr bwMode="auto">
                    <a:xfrm>
                      <a:off x="0" y="0"/>
                      <a:ext cx="1543050" cy="95250"/>
                    </a:xfrm>
                    <a:prstGeom prst="rect">
                      <a:avLst/>
                    </a:prstGeom>
                  </pic:spPr>
                </pic:pic>
              </a:graphicData>
            </a:graphic>
          </wp:inline>
        </w:drawing>
      </w:r>
    </w:p>
    <w:p>
      <w:pPr>
        <w:pStyle w:val="TextBody"/>
        <w:bidi w:val="0"/>
        <w:spacing w:lineRule="auto" w:line="288" w:before="0" w:after="240"/>
        <w:jc w:val="both"/>
        <w:rPr/>
      </w:pPr>
      <w:r>
        <w:rPr>
          <w:rFonts w:ascii="Times New Roman;serif" w:hAnsi="Times New Roman;serif"/>
          <w:b w:val="false"/>
          <w:color w:val="000000"/>
          <w:sz w:val="24"/>
        </w:rPr>
        <w:t>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and, with respect to the opinions set forth in paragraph 2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foregoing and the other matters set forth herein, it is our opinion that, as of the date hereof: </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Company’s certificate of incorporation (as amended, the “</w:t>
      </w:r>
      <w:r>
        <w:rPr>
          <w:rFonts w:ascii="Times New Roman;serif" w:hAnsi="Times New Roman;serif"/>
          <w:b/>
          <w:i/>
          <w:color w:val="000000"/>
          <w:sz w:val="24"/>
        </w:rPr>
        <w:t>Certificate of Incorporation</w:t>
      </w:r>
      <w:r>
        <w:rPr>
          <w:color w:val="000000"/>
        </w:rPr>
        <w:t>”</w:t>
      </w:r>
      <w:r>
        <w:rPr>
          <w:rFonts w:ascii="Times New Roman;serif" w:hAnsi="Times New Roman;serif"/>
          <w:b w:val="false"/>
          <w:color w:val="000000"/>
          <w:sz w:val="24"/>
        </w:rPr>
        <w:t>) and (b) authorized by the board of directors of the Company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With respect to the Resale Shares that are not issued and outstanding as of the date hereof, when such Resale Shares shall have been duly registered on the books of the transfer agent and registrar therefor in the name of or on behalf of the holders and have been issued by the Company against payment therefor (not less than par value) in the circumstances contemplated by the Certificate of Designations of the Series A Preferred Stock, such Resale Shares will be duly authorized by all necessary corporate action of the Company and will be validly issued, fully paid and nonassessable. In rendering the foregoing opinion, we have assumed that (i) the Company will comply with all applicable notice requirements regarding uncertificated shares provided in the DGCL, (ii) upon the issuance of any of the Resale Shares, the total number of shares of Common Stock issued and outstanding will not exceed the total number of shares of Common Stock that the Company is then authorized to issue under its Certificate of Incorporation.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Our opinions are subject to: (i) the effect of bankruptcy, insolvency, reorganization, preference, fraudulent transfer, moratorium or other similar laws relating to or affecting the </w:t>
      </w:r>
    </w:p>
    <w:p>
      <w:pPr>
        <w:pStyle w:val="TextBody"/>
        <w:bidi w:val="0"/>
        <w:spacing w:lineRule="auto" w:line="288" w:before="0" w:after="0"/>
        <w:jc w:val="left"/>
        <w:rPr>
          <w:rFonts w:ascii="Arial;sans-serif" w:hAnsi="Arial;sans-serif"/>
          <w:b/>
          <w:color w:val="000000"/>
          <w:sz w:val="14"/>
        </w:rPr>
      </w:pPr>
      <w:r>
        <w:rPr>
          <w:rFonts w:ascii="Arial;sans-serif" w:hAnsi="Arial;sans-serif"/>
          <w:b/>
          <w:color w:val="000000"/>
          <w:sz w:val="14"/>
        </w:rPr>
        <w:t>September 22, 2025</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7"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left"/>
        <w:rPr>
          <w:rFonts w:ascii="Arial;sans-serif" w:hAnsi="Arial;sans-serif"/>
          <w:b/>
          <w:color w:val="000000"/>
          <w:sz w:val="14"/>
        </w:rPr>
      </w:pPr>
      <w:r>
        <w:rPr>
          <w:rFonts w:ascii="Arial;sans-serif" w:hAnsi="Arial;sans-serif"/>
          <w:b/>
          <w:color w:val="000000"/>
          <w:sz w:val="14"/>
        </w:rPr>
        <w:t>Page 3</w:t>
      </w:r>
    </w:p>
    <w:p>
      <w:pPr>
        <w:pStyle w:val="TextBody"/>
        <w:bidi w:val="0"/>
        <w:spacing w:before="0" w:after="360"/>
        <w:jc w:val="left"/>
        <w:rPr/>
      </w:pPr>
      <w:r>
        <w:rPr/>
        <w:drawing>
          <wp:inline distT="0" distB="0" distL="0" distR="0">
            <wp:extent cx="1543050" cy="95250"/>
            <wp:effectExtent l="0" t="0" r="0" b="0"/>
            <wp:docPr id="5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6" descr=""/>
                    <pic:cNvPicPr>
                      <a:picLocks noChangeAspect="1" noChangeArrowheads="1"/>
                    </pic:cNvPicPr>
                  </pic:nvPicPr>
                  <pic:blipFill>
                    <a:blip r:embed="rId40"/>
                    <a:stretch>
                      <a:fillRect/>
                    </a:stretch>
                  </pic:blipFill>
                  <pic:spPr bwMode="auto">
                    <a:xfrm>
                      <a:off x="0" y="0"/>
                      <a:ext cx="1543050" cy="95250"/>
                    </a:xfrm>
                    <a:prstGeom prst="rect">
                      <a:avLst/>
                    </a:prstGeom>
                  </pic:spPr>
                </pic:pic>
              </a:graphicData>
            </a:graphic>
          </wp:inline>
        </w:drawing>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With your consent, we have assumed (a) that each of the Warrants and the warrant agreements governing such Securities (collectively, the “</w:t>
      </w:r>
      <w:r>
        <w:rPr>
          <w:rFonts w:ascii="Times New Roman;serif" w:hAnsi="Times New Roman;serif"/>
          <w:b/>
          <w:i/>
          <w:color w:val="000000"/>
          <w:sz w:val="24"/>
        </w:rPr>
        <w:t>Documents</w:t>
      </w:r>
      <w:r>
        <w:rPr>
          <w:color w:val="000000"/>
        </w:rPr>
        <w:t>”</w:t>
      </w:r>
      <w:r>
        <w:rPr>
          <w:rFonts w:ascii="Times New Roman;serif" w:hAnsi="Times New Roman;serif"/>
          <w:b w:val="false"/>
          <w:color w:val="000000"/>
          <w:sz w:val="24"/>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pStyle w:val="TextBody"/>
        <w:bidi w:val="0"/>
        <w:spacing w:lineRule="auto" w:line="288" w:before="0" w:after="0"/>
        <w:jc w:val="left"/>
        <w:rPr>
          <w:rFonts w:ascii="Arial;sans-serif" w:hAnsi="Arial;sans-serif"/>
          <w:b/>
          <w:color w:val="000000"/>
          <w:sz w:val="14"/>
        </w:rPr>
      </w:pPr>
      <w:r>
        <w:rPr>
          <w:rFonts w:ascii="Arial;sans-serif" w:hAnsi="Arial;sans-serif"/>
          <w:b/>
          <w:color w:val="000000"/>
          <w:sz w:val="14"/>
        </w:rPr>
        <w:t>September 22, 2025</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left"/>
        <w:rPr>
          <w:rFonts w:ascii="Arial;sans-serif" w:hAnsi="Arial;sans-serif"/>
          <w:b/>
          <w:color w:val="000000"/>
          <w:sz w:val="14"/>
        </w:rPr>
      </w:pPr>
      <w:r>
        <w:rPr>
          <w:rFonts w:ascii="Arial;sans-serif" w:hAnsi="Arial;sans-serif"/>
          <w:b/>
          <w:color w:val="000000"/>
          <w:sz w:val="14"/>
        </w:rPr>
        <w:t>Page 4</w:t>
      </w:r>
    </w:p>
    <w:p>
      <w:pPr>
        <w:pStyle w:val="TextBody"/>
        <w:bidi w:val="0"/>
        <w:spacing w:before="0" w:after="360"/>
        <w:jc w:val="left"/>
        <w:rPr/>
      </w:pPr>
      <w:r>
        <w:rPr/>
        <w:drawing>
          <wp:inline distT="0" distB="0" distL="0" distR="0">
            <wp:extent cx="1543050" cy="95250"/>
            <wp:effectExtent l="0" t="0" r="0" b="0"/>
            <wp:docPr id="6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7" descr=""/>
                    <pic:cNvPicPr>
                      <a:picLocks noChangeAspect="1" noChangeArrowheads="1"/>
                    </pic:cNvPicPr>
                  </pic:nvPicPr>
                  <pic:blipFill>
                    <a:blip r:embed="rId41"/>
                    <a:stretch>
                      <a:fillRect/>
                    </a:stretch>
                  </pic:blipFill>
                  <pic:spPr bwMode="auto">
                    <a:xfrm>
                      <a:off x="0" y="0"/>
                      <a:ext cx="1543050" cy="95250"/>
                    </a:xfrm>
                    <a:prstGeom prst="rect">
                      <a:avLst/>
                    </a:prstGeom>
                  </pic:spPr>
                </pic:pic>
              </a:graphicData>
            </a:graphic>
          </wp:inline>
        </w:drawing>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and the Resale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/s/ Latham &amp; Watkins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00" w:after="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each Prospectus constituting a part of this Registration Statement of our reports dated August 7, 2025, relating to the consolidated financial statements and the effectiveness of internal control over financial reporting, of Lifecore Biomedical, Inc. (the Company) appearing in the Company’s Annual Report on Form 10-K for the year ended May 25, 2025. Our report on the effectiveness of internal control over financial reporting expresses an adverse opinion on the effectiveness of the Company’s internal control over financial reporting as of May 25, 2025.</w:t>
      </w:r>
    </w:p>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We also consent to the reference to us under the caption “Experts” in each Prospectus.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Minneapolis, Minnesota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September 22, 2025</w:t>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05286/000100528625000108/lfcr-20250525.htm" TargetMode="External"/><Relationship Id="rId4" Type="http://schemas.openxmlformats.org/officeDocument/2006/relationships/hyperlink" Target="https://www.sec.gov/ix?doc=/Archives/edgar/data/1005286/000100528625000108/lfcr-20250525.htm" TargetMode="External"/><Relationship Id="rId5" Type="http://schemas.openxmlformats.org/officeDocument/2006/relationships/hyperlink" Target="https://www.sec.gov/ix?doc=/Archives/edgar/data/1005286/000100528625000108/lfcr-20250525.htm" TargetMode="External"/><Relationship Id="rId6" Type="http://schemas.openxmlformats.org/officeDocument/2006/relationships/hyperlink" Target="https://www.sec.gov/ix?doc=/Archives/edgar/data/1005286/000100528625000126/lfcr-20250918.htm" TargetMode="External"/><Relationship Id="rId7" Type="http://schemas.openxmlformats.org/officeDocument/2006/relationships/hyperlink" Target="https://www.sec.gov/ix?doc=/Archives/edgar/data/1005286/000100528625000126/lfcr-20250918.htm" TargetMode="External"/><Relationship Id="rId8" Type="http://schemas.openxmlformats.org/officeDocument/2006/relationships/hyperlink" Target="https://www.sec.gov/ix?doc=/Archives/edgar/data/1005286/000100528625000126/lfcr-20250918.htm" TargetMode="External"/><Relationship Id="rId9" Type="http://schemas.openxmlformats.org/officeDocument/2006/relationships/hyperlink" Target="https://www.sec.gov/ix?doc=/Archives/edgar/data/1005286/000100528625000097/lndc-20250715.htm" TargetMode="External"/><Relationship Id="rId10" Type="http://schemas.openxmlformats.org/officeDocument/2006/relationships/hyperlink" Target="https://www.sec.gov/ix?doc=/Archives/edgar/data/1005286/000100528625000097/lndc-20250715.htm" TargetMode="External"/><Relationship Id="rId11" Type="http://schemas.openxmlformats.org/officeDocument/2006/relationships/hyperlink" Target="https://www.sec.gov/ix?doc=/Archives/edgar/data/1005286/000100528625000118/lndc-20250812.htm" TargetMode="External"/><Relationship Id="rId12" Type="http://schemas.openxmlformats.org/officeDocument/2006/relationships/hyperlink" Target="https://www.sec.gov/Archives/edgar/data/1005286/000100528625000108/lfcr-20250525xexx41descrip.htm" TargetMode="External"/><Relationship Id="rId13" Type="http://schemas.openxmlformats.org/officeDocument/2006/relationships/image" Target="media/image1.jpeg"/><Relationship Id="rId14" Type="http://schemas.openxmlformats.org/officeDocument/2006/relationships/hyperlink" Target="https://www.sec.gov/ix?doc=/Archives/edgar/data/1005286/000100528625000108/lfcr-20250525.htm" TargetMode="External"/><Relationship Id="rId15" Type="http://schemas.openxmlformats.org/officeDocument/2006/relationships/hyperlink" Target="https://www.sec.gov/ix?doc=/Archives/edgar/data/1005286/000100528625000108/lfcr-20250525.htm" TargetMode="External"/><Relationship Id="rId16" Type="http://schemas.openxmlformats.org/officeDocument/2006/relationships/hyperlink" Target="https://www.sec.gov/ix?doc=/Archives/edgar/data/1005286/000100528625000108/lfcr-20250525.htm" TargetMode="External"/><Relationship Id="rId17" Type="http://schemas.openxmlformats.org/officeDocument/2006/relationships/hyperlink" Target="https://www.sec.gov/ix?doc=/Archives/edgar/data/1005286/000100528625000126/lfcr-20250918.htm" TargetMode="External"/><Relationship Id="rId18" Type="http://schemas.openxmlformats.org/officeDocument/2006/relationships/hyperlink" Target="https://www.sec.gov/ix?doc=/Archives/edgar/data/1005286/000100528625000126/lfcr-20250918.htm" TargetMode="External"/><Relationship Id="rId19" Type="http://schemas.openxmlformats.org/officeDocument/2006/relationships/hyperlink" Target="https://www.sec.gov/ix?doc=/Archives/edgar/data/1005286/000100528625000126/lfcr-20250918.htm" TargetMode="External"/><Relationship Id="rId20" Type="http://schemas.openxmlformats.org/officeDocument/2006/relationships/hyperlink" Target="https://www.sec.gov/ix?doc=/Archives/edgar/data/1005286/000100528625000097/lndc-20250715.htm" TargetMode="External"/><Relationship Id="rId21" Type="http://schemas.openxmlformats.org/officeDocument/2006/relationships/hyperlink" Target="https://www.sec.gov/ix?doc=/Archives/edgar/data/1005286/000100528625000097/lndc-20250715.htm" TargetMode="External"/><Relationship Id="rId22" Type="http://schemas.openxmlformats.org/officeDocument/2006/relationships/hyperlink" Target="https://www.sec.gov/ix?doc=/Archives/edgar/data/1005286/000100528625000118/lndc-20250812.htm" TargetMode="External"/><Relationship Id="rId23" Type="http://schemas.openxmlformats.org/officeDocument/2006/relationships/hyperlink" Target="https://www.sec.gov/Archives/edgar/data/1005286/000100528625000108/lfcr-20250525xexx41descrip.htm" TargetMode="External"/><Relationship Id="rId24" Type="http://schemas.openxmlformats.org/officeDocument/2006/relationships/image" Target="media/image1.jpeg"/><Relationship Id="rId25" Type="http://schemas.openxmlformats.org/officeDocument/2006/relationships/hyperlink" Target="https://www.sec.gov/Archives/edgar/data/1005286/000115752308009084/a5824739ex3-1.htm" TargetMode="External"/><Relationship Id="rId26" Type="http://schemas.openxmlformats.org/officeDocument/2006/relationships/hyperlink" Target="https://www.sec.gov/Archives/edgar/data/1005286/000100528622000080/a31.htm" TargetMode="External"/><Relationship Id="rId27" Type="http://schemas.openxmlformats.org/officeDocument/2006/relationships/hyperlink" Target="https://www.sec.gov/Archives/edgar/data/1005286/000100528624000119/exhibit31-lfcrxcharteramen.htm" TargetMode="External"/><Relationship Id="rId28" Type="http://schemas.openxmlformats.org/officeDocument/2006/relationships/hyperlink" Target="https://www.sec.gov/Archives/edgar/data/1005286/000100528623000015/a31.htm" TargetMode="External"/><Relationship Id="rId29" Type="http://schemas.openxmlformats.org/officeDocument/2006/relationships/hyperlink" Target="https://www.sec.gov/Archives/edgar/data/1005286/000143774912010333/ex3-1.htm" TargetMode="External"/><Relationship Id="rId30" Type="http://schemas.openxmlformats.org/officeDocument/2006/relationships/hyperlink" Target="https://www.sec.gov/Archives/edgar/data/1005286/000162828019005963/ex-31.htm" TargetMode="External"/><Relationship Id="rId31" Type="http://schemas.openxmlformats.org/officeDocument/2006/relationships/hyperlink" Target="https://www.sec.gov/Archives/edgar/data/1005286/000162828019007183/ex-31.htm" TargetMode="External"/><Relationship Id="rId32" Type="http://schemas.openxmlformats.org/officeDocument/2006/relationships/hyperlink" Target="https://www.sec.gov/Archives/edgar/data/1005286/000100528620000022/amendmentno3toby-lawso.htm" TargetMode="External"/><Relationship Id="rId33" Type="http://schemas.openxmlformats.org/officeDocument/2006/relationships/hyperlink" Target="https://www.sec.gov/Archives/edgar/data/1005286/000100528622000080/a32.htm" TargetMode="External"/><Relationship Id="rId34" Type="http://schemas.openxmlformats.org/officeDocument/2006/relationships/hyperlink" Target="https://www.sec.gov/Archives/edgar/data/1005286/000100528622000083/agreement8-kv2.htm" TargetMode="External"/><Relationship Id="rId35" Type="http://schemas.openxmlformats.org/officeDocument/2006/relationships/hyperlink" Target="https://www.sec.gov/Archives/edgar/data/1005286/000100528623000015/a101.htm" TargetMode="External"/><Relationship Id="rId36" Type="http://schemas.openxmlformats.org/officeDocument/2006/relationships/hyperlink" Target="https://www.sec.gov/Archives/edgar/data/1005286/000100528623000015/a102.htm" TargetMode="External"/><Relationship Id="rId37" Type="http://schemas.openxmlformats.org/officeDocument/2006/relationships/hyperlink" Target="https://www.sec.gov/ix?doc=/Archives/edgar/data/1005286/000100528624000144/lndc-20241003.htm" TargetMode="External"/><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24725</Words>
  <Characters>133063</Characters>
  <CharactersWithSpaces>157134</CharactersWithSpaces>
  <Paragraphs>984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