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Aryeh Jason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LIFECORE BIOMEDICAL,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3515 LYMAN BLVD.</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CHASKA</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55318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LIFECORE BIOMEDICAL, INC. \DE\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260" w:type="dxa"/>
            <w:vAlign w:val="bottom"/>
            <w:tcBorders>
              <w:bottom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LFCR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2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4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08/19/2024</w:t>
            </w: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2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08/19/2024</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24,554</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008000"/>
              </w:rPr>
              <w:t>(1)(2)</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24,554</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convert into common stock of Lifecore Biomedical, Inc. on a 1 for 1 basis.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on earlier of July 8, 2025 or the date of the annual meeting of stockholders of the Company first held in calendar year 2025 (provided such date is no less than 50 weeks from July 8, 2024).</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Rebecca J Hilt,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08/21/2024</w:t>
            </w:r>
          </w:p>
        </w:tc>
        <w:tc>
          <w:tcPr>
            <w:tcW w:w="0" w:type="dxa"/>
            <w:vAlign w:val="bottom"/>
          </w:tcPr>
          <w:p>
            <w:pPr>
              <w:spacing w:after="0"/>
              <w:rPr>
                <w:sz w:val="1"/>
                <w:szCs w:val="1"/>
                <w:color w:val="auto"/>
              </w:rPr>
            </w:pPr>
          </w:p>
        </w:tc>
      </w:tr>
      <w:tr>
        <w:trPr>
          <w:trHeight w:val="87"/>
        </w:trPr>
        <w:tc>
          <w:tcPr>
            <w:tcW w:w="16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Jason Aryeh</w:t>
            </w:r>
          </w:p>
        </w:tc>
        <w:tc>
          <w:tcPr>
            <w:tcW w:w="32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60" w:type="dxa"/>
            <w:vAlign w:val="bottom"/>
            <w:tcBorders>
              <w:top w:val="single" w:sz="8" w:color="auto"/>
              <w:bottom w:val="single" w:sz="8" w:color="auto"/>
            </w:tcBorders>
            <w:vMerge w:val="continue"/>
          </w:tcPr>
          <w:p>
            <w:pPr>
              <w:spacing w:after="0"/>
              <w:rPr>
                <w:sz w:val="7"/>
                <w:szCs w:val="7"/>
                <w:color w:val="auto"/>
              </w:rPr>
            </w:pPr>
          </w:p>
        </w:tc>
        <w:tc>
          <w:tcPr>
            <w:tcW w:w="32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76960" TargetMode="External"/><Relationship Id="rId14" Type="http://schemas.openxmlformats.org/officeDocument/2006/relationships/hyperlink" Target="http://www.sec.gov/cgi-bin/browse-edgar?action=getcompany&amp;CIK=0001005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2024-08-21T18:56:04Z</dcterms:created>
  <dcterms:modified xsi:type="dcterms:W3CDTF">2024-08-21T18:56:04Z</dcterms:modified>
</cp:coreProperties>
</file>