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LIFECORE BIOMEDICAL,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Mr. Nelson Obus</w:t>
              <w:br/>
              <w:t xml:space="preserve">450 Seventh Avenue, Suite 509, </w:t>
              <w:br/>
              <w:t>New York, NY, 10123</w:t>
              <w:br/>
              <w:t>(212) 760-0814</w:t>
            </w:r>
          </w:p>
          <w:p>
            <w:pPr>
              <w:pStyle w:val="TableContents"/>
              <w:bidi w:val="0"/>
              <w:jc w:val="left"/>
              <w:rPr/>
            </w:pPr>
            <w:r>
              <w:rPr/>
            </w:r>
          </w:p>
          <w:p>
            <w:pPr>
              <w:pStyle w:val="TableContents"/>
              <w:bidi w:val="0"/>
              <w:spacing w:before="0" w:after="0"/>
              <w:jc w:val="center"/>
              <w:rPr>
                <w:b/>
                <w:color w:val="0000FF"/>
              </w:rPr>
            </w:pPr>
            <w:r>
              <w:rPr>
                <w:b/>
                <w:color w:val="0000FF"/>
              </w:rPr>
              <w:t>Robert L. Lawrence, Esq.</w:t>
              <w:br/>
              <w:t>c/o Michael Best &amp; Friedrich LLP, 600 Third Avenue</w:t>
              <w:br/>
              <w:t>New York, NY, 10016</w:t>
              <w:br/>
              <w:t>(212) 541-6222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Wynnefield Partners Small Cap Value,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2,405,090.00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2,405,090.00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2,405,090.00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309,307 shares of Common Stock issuable upon conversion of Series A Preferred Stock, which are deemed outstanding for purposes of calculating this Reporting Person's beneficial ownership in accordance with Rule 13d-3.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Wynnefield Partners Small Cap Value,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1,551,295.00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1,551,295.00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1,551,295.00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206,210 shares of Common Stock issuable upon conversion of Series A Preferred Stock, which are deemed outstanding for purposes of calculating this Reporting Person's beneficial ownership in accordance with Rule 13d-3.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Wynnefield Small Cap Value Offshore Fund,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1,024,376.00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1,024,376.00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1,024,376.00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128,878 shares of Common Stock issuable upon conversion of Series A Preferred Stock, which are deemed outstanding for purposes of calculating this Reporting Person's beneficial ownership in accordance with Rule 13d-3.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Wynnefield Capital, Inc. Profit Sharing &amp; Money Purchase Plan</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367,350.00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367,350.00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367,350.00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EP</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5"/>
        <w:gridCol w:w="7910"/>
      </w:tblGrid>
      <w:tr>
        <w:trPr/>
        <w:tc>
          <w:tcPr>
            <w:tcW w:w="229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Wynnefield Capital Management, LLC</w:t>
            </w:r>
          </w:p>
        </w:tc>
      </w:tr>
      <w:tr>
        <w:trPr/>
        <w:tc>
          <w:tcPr>
            <w:tcW w:w="2295" w:type="dxa"/>
            <w:tcBorders/>
            <w:vAlign w:val="center"/>
          </w:tcPr>
          <w:p>
            <w:pPr>
              <w:pStyle w:val="TableContents"/>
              <w:bidi w:val="0"/>
              <w:spacing w:before="0" w:after="283"/>
              <w:jc w:val="left"/>
              <w:rPr/>
            </w:pPr>
            <w:r>
              <w:rPr/>
              <w:t>2</w:t>
            </w:r>
          </w:p>
        </w:tc>
        <w:tc>
          <w:tcPr>
            <w:tcW w:w="79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5" w:type="dxa"/>
            <w:tcBorders/>
            <w:vAlign w:val="center"/>
          </w:tcPr>
          <w:p>
            <w:pPr>
              <w:pStyle w:val="TableContents"/>
              <w:bidi w:val="0"/>
              <w:spacing w:before="0" w:after="283"/>
              <w:jc w:val="left"/>
              <w:rPr/>
            </w:pPr>
            <w:r>
              <w:rPr/>
              <w:t>3</w:t>
            </w:r>
          </w:p>
        </w:tc>
        <w:tc>
          <w:tcPr>
            <w:tcW w:w="7910" w:type="dxa"/>
            <w:tcBorders/>
            <w:vAlign w:val="center"/>
          </w:tcPr>
          <w:p>
            <w:pPr>
              <w:pStyle w:val="TableContents"/>
              <w:bidi w:val="0"/>
              <w:spacing w:before="0" w:after="283"/>
              <w:jc w:val="left"/>
              <w:rPr/>
            </w:pPr>
            <w:r>
              <w:rPr/>
              <w:t>SEC use only</w:t>
            </w:r>
          </w:p>
        </w:tc>
      </w:tr>
      <w:tr>
        <w:trPr/>
        <w:tc>
          <w:tcPr>
            <w:tcW w:w="229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5"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6</w:t>
            </w:r>
          </w:p>
        </w:tc>
        <w:tc>
          <w:tcPr>
            <w:tcW w:w="79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3,956,385.00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3,956,385.00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283"/>
              <w:jc w:val="left"/>
              <w:rPr/>
            </w:pPr>
            <w:r>
              <w:rPr/>
              <w:t>11</w:t>
            </w:r>
          </w:p>
        </w:tc>
        <w:tc>
          <w:tcPr>
            <w:tcW w:w="79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3,956,385.00</w:t>
            </w:r>
          </w:p>
        </w:tc>
      </w:tr>
      <w:tr>
        <w:trPr/>
        <w:tc>
          <w:tcPr>
            <w:tcW w:w="2295" w:type="dxa"/>
            <w:tcBorders/>
            <w:vAlign w:val="center"/>
          </w:tcPr>
          <w:p>
            <w:pPr>
              <w:pStyle w:val="TableContents"/>
              <w:bidi w:val="0"/>
              <w:spacing w:before="0" w:after="283"/>
              <w:jc w:val="left"/>
              <w:rPr/>
            </w:pPr>
            <w:r>
              <w:rPr/>
              <w:t>12</w:t>
            </w:r>
          </w:p>
        </w:tc>
        <w:tc>
          <w:tcPr>
            <w:tcW w:w="79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13</w:t>
            </w:r>
          </w:p>
        </w:tc>
        <w:tc>
          <w:tcPr>
            <w:tcW w:w="79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10.3 % </w:t>
            </w:r>
          </w:p>
        </w:tc>
      </w:tr>
      <w:tr>
        <w:trPr/>
        <w:tc>
          <w:tcPr>
            <w:tcW w:w="2295" w:type="dxa"/>
            <w:tcBorders/>
            <w:vAlign w:val="center"/>
          </w:tcPr>
          <w:p>
            <w:pPr>
              <w:pStyle w:val="TableContents"/>
              <w:bidi w:val="0"/>
              <w:spacing w:before="0" w:after="283"/>
              <w:jc w:val="left"/>
              <w:rPr/>
            </w:pPr>
            <w:r>
              <w:rPr/>
              <w:t>14</w:t>
            </w:r>
          </w:p>
        </w:tc>
        <w:tc>
          <w:tcPr>
            <w:tcW w:w="79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Wynnefield Capital Management, LLC is the sole general partner of Wynnefield Partners Small Cap Value, L.P. and Wynnefield Partners Small Cap Value, L.P. I and may be deemed to beneficially own the shares beneficially owned by such entities. Includes 515,517 shares of Common Stock issuable upon conversion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Wynnefield Capital,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1,024,376.00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1,024,376.00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1,024,376.00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Wynnefield Capital, Inc. is the sole investment manager of Wynnefield Small Cap Value Offshore Fund, Ltd. and may be deemed to beneficially own the shares beneficially owned by such entity. Includes 128,878 shares of Common Stock issuable upon conversion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Nelson Obus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164,100.00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5,348,111.00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164,100.00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5,348,111.00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5,512,210.00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Mr. Obus may be deemed to hold an indirect beneficial interest in the shares directly beneficially owned by Wynnefield Partners Small Cap Value, L.P., Wynnefield Partners Small Cap Value, L.P. I, Wynnefield Small Cap Value Offshore Fund, Ltd. and Wynnefield Capital, Inc. Profit Sharing &amp; Money Purchase Plan, because he is a co-managing member of Wynnefield Capital Management, LLC, a principal executive officer of Wynnefield Capital, Inc., the investment manager of Wynnefield Small Cap Value Offshore Fund, Ltd., and a co-trustee of Wynnefield Capital, Inc. Profit Sharing &amp; Money Purchase Plan. The filing of this Schedule 13D and any future amendment by Mr. Obus, and the inclusion of information herein and therein with respect to Mr. Obus, shall not be deemed an admission that he is, for purposes of Section 16(b) of the Exchange Act or otherwise, the beneficial owner of any shares in which he does not have a pecuniary interest, and Mr. Obus disclaims beneficial ownership of the shares of Common Stock covered by this Schedule 13D, including 644,395 shares of Common Stock issuable upon conversion of Series A Preferred Stock, except to the extent of any pecuniary interest therein. The foregoing excludes 25,907 restricted stock units that are not vested or otherwise acquirable within 60 days of the date hereof and that convert into shares of Common Stock on a 1-for-1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Joshua Landes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5,348,110.00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5,348,110.00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5,348,110.00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Mr. Landes may be deemed to hold an indirect beneficial interest in the shares directly beneficially owned by Wynnefield Partners Small Cap Value, L.P., Wynnefield Partners Small Cap Value, L.P. I, Wynnefield Small Cap Value Offshore Fund, Ltd. and Wynnefield Capital, Inc. Profit Sharing &amp; Money Purchase Plan, because he is a co-managing member of Wynnefield Capital Management, LLC, a principal executive officer of Wynnefield Capital, Inc., the investment manager of Wynnefield Small Cap Value Offshore Fund, Ltd., and a co-trustee of Wynnefield Capital, Inc. Profit Sharing &amp; Money Purchase Plan. The filing of this Schedule 13D and any future amendment by Mr. Landes, and the inclusion of information herein and therein with respect to Mr. Landes, shall not be deemed an admission that he is, for purposes of Section 16(b) of the Exchange Act or otherwise, the beneficial owner of any shares in which he does not have a pecuniary interest, and Mr. Landes disclaims beneficial ownership of the shares of Common Stock covered by this Schedule 13D, including 644,395 shares of Common Stock issuable upon conversion of Series A Preferred Stock, except to the extent of any pecuniary interest therein.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LIFECORE BIOMEDICAL,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3515 Lyman Boulevard, Chaska, MINNESOTA , 55318.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to Schedule 13D amends and supplements the Schedule 13D originally filed with the U.S. Securities and Exchange Commission on June 14, 2012, as previously amended by Amendment No. 1 filed October 2, 2012, Amendment No. 2 filed October 17, 2014, Amendment No. 3 filed May 24, 2018, Amendment No. 4 filed April 20, 2021, Amendment No. 5 filed January 20, 2022, Amendment No. 6 filed December 2, 2022, Amendment No. 7 filed January 12, 2023, Amendment No. 8 filed March 7, 2023, Amendment No. 9 filed March 16, 2023, and Amendment No. 10 filed July 2, 2024, (collectively, the "Schedule 13D") by the Wynnefield Reporting Persons with respect to the Common Stock, $0.001 par value (the "Common Stock"), of Lifecore Biomedical, Inc. (formerly known as Landec Corporation) (the "Issuer"). Except as specifically amended hereby, the disclosures set forth in the Schedule 13D, as previously amended, remain unchanged. Capitalized terms used herein but not otherwise defined shall have the meanings set forth in the Schedule 13D, as previously amended.</w:t>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4 is hereby amended to add the following: On September 27, 2026, the Wynnefield Reporting Persons entered into a Voting and Support Agreement (the "Support Agreement") with Lifecore, Inc., a Delaware corporation ("Parent"), and the Issuer in connection with the Agreement and Plan of Merger, dated as of September 27, 2026, among Parent, Hazel Merger Sub, Inc., a Delaware corporation and direct wholly owned subsidiary of Parent ("Merger Sub"), and the Issuer (the "Merger Agreement"). The Merger Agreement provides, among other things and subject to its terms and conditions, for the merger of Merger Sub with and into the Issuer, with the Issuer surviving the merger. Pursuant to the Support Agreement, and subject to its terms and conditions, the Wynnefield Reporting Persons agreed to vote their Covered Shares (as defined in the Support Agreement) in favor of the adoption and approval of the Merger Agreement, the merger and the other transactions contemplated by the Merger Agreement, and in favor of certain proposals to adjourn or postpone a meeting of the Issuer's stockholders if necessary to establish a quorum or obtain the required stockholder vote. The Wynnefield Reporting Persons also agreed to vote their Covered Shares against certain competing acquisition proposals and other matters that would reasonably be expected to impede, interfere with or materially and adversely affect the consummation of the merger, and to cause their Covered Shares to be present for purposes of establishing a quorum. The Support Agreement also contains restrictions on transfers of Covered Shares, subject to specified permitted transfers generally conditioned upon the transferee agreeing to be bound by the Support Agreement. Covered Shares include certain after-acquired shares, including shares of Common Stock acquired upon conversion of Series A Preferred Stock. The Wynnefield Reporting Persons also waived appraisal rights with respect to their Covered Shares and agreed to certain customary limitations on actions challenging or delaying the transactions, in each case subject to the terms and exceptions set forth in the Support Agreement. The Support Agreement generally terminates upon the earliest to occur of the time the required stockholder vote is obtained, the effective time of the merger, the termination of the Merger Agreement or a change in the recommendation of the Issuer's board of directors effected in accordance with the Merger Agreement; provided that, if termination occurs because the required stockholder vote is obtained, the voting obligations in Section 3 survive until the earlier events specified in the Support Agreement. In addition, each Wynnefield Reporting Person may terminate the Support Agreement as to itself following certain adverse changes to the contingent value rights or other consideration payable to it. Certain provisions survive termination. Each Wynnefield Reporting Person entered into the Support Agreement solely in its capacity as a stockholder, and the Support Agreement does not limit actions taken in a director, officer or employee capacity in accordance with the fiduciary-duty provisions set forth therein. In addition, on June 30, 2026, Wynnefield Partners Small Cap Value, L.P. I, Wynnefield Partners Small Cap Value, L.P. and Wynnefield Small Cap Value Offshore Fund, Ltd. delivered to the Issuer notices of redemption with respect to all of the shares of Series A Preferred Stock held by them. Pursuant to the Certificate of Designations governing the Series A Preferred Stock, the applicable redemption amounts are payable on December 28, 2026. The foregoing description of the Support Agreement does not purport to be complete and is qualified in its entirety by reference to the full text of the Support Agreement, a copy of which is filed as Exhibit 99.1 to this Amendment No. 11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The beneficial ownership percentages reported herein are based on 37,853,060 shares of Common Stock outstanding as of July 29, 2026, as reported in the Issuer's Quarterly Report on Form 10-Q for the quarterly period ended June 30, 2026 as filed with the Securities and Exchange Commission on August 5, 2026. In accordance with Rule 13d-3 under the Exchange Act, shares of Common Stock issuable upon conversion of Series A Preferred Stock that are beneficially owned by a Reporting Person are deemed outstanding for purposes of calculating such Reporting Person's beneficial ownership, but are not deemed outstanding for purposes of calculating the beneficial ownership of any other Reporting Person. Shares of Common Stock underlying Series A Preferred Stock are included only to the extent presently convertible or convertible within 60 days. In accordance with the Certificate of Designations, fractional shares of Common Stock otherwise issuable upon conversion of Series A Preferred Stock are rounded up to the nearest whole share. Restricted stock units that are not vested or otherwise acquirable within 60 days are excluded from the beneficial ownership calculations. Based on the foregoing, the Wynnefield Reporting Persons may be deemed to beneficially own, in the aggregate, 5,512,211 shares of Common Stock, including 644,395 shares of Common Stock issuable upon conversion of Series A Preferred Stock, representing approximately 14.3% of the outstanding Common Stock, based on a denominator of 38,497,455 shares. The beneficial ownership of each Reporting Person is as follows: (i) Wynnefield Partners Small Cap Value, L.P. I beneficially owns 2,405,090 shares, representing 6.3% of the outstanding Common Stock, including 309,307 shares issuable upon conversion of Series A Preferred Stock, based on a denominator of 38,162,367 shares; (ii) Wynnefield Partners Small Cap Value, L.P. beneficially owns 1,551,295 shares, representing 4.1% of the outstanding Common Stock, including 206,210 shares issuable upon conversion of Series A Preferred Stock, based on a denominator of 38,059,270 shares; (iii) Wynnefield Small Cap Value Offshore Fund, Ltd. beneficially owns 1,024,376 shares, representing 2.7% of the outstanding Common Stock, including 128,878 shares issuable upon conversion of Series A Preferred Stock, based on a denominator of 37,981,938 shares; (iv) Wynnefield Capital, Inc. Profit Sharing &amp; Money Purchase Plan beneficially owns 367,350 shares, representing 1.0% of the outstanding Common Stock, based on a denominator of 37,853,060 shares; (v) Wynnefield Capital Management, LLC may be deemed to beneficially own 3,956,385 shares, representing 10.3% of the outstanding Common Stock, including 515,517 shares issuable upon conversion of Series A Preferred Stock, based on a denominator of 38,368,577 shares; (vi) Wynnefield Capital, Inc. may be deemed to beneficially own 1,024,376 shares, representing 2.7% of the outstanding Common Stock, including 128,878 shares issuable upon conversion of Series A Preferred Stock, based on a denominator of 37,981,938 shares; (vii) Nelson Obus may be deemed to beneficially own 5,512,210 shares, representing 14.3% of the outstanding Common Stock, including 644,394 shares issuable upon conversion of Series A Preferred Stock and excluding 25,907 restricted stock units that are not vested or otherwise acquirable within 60 days and that settle on a one-for-one basis in shares of Common Stock, based on a denominator of 38,497,454 shares; and (viii) Joshua Landes may be deemed to beneficially own 5,348,110 shares, representing 13.9% of the outstanding Common Stock, including 644,395 shares issuable upon conversion of Series A Preferred Stock, based on a denominator of 38,497,454 shares.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WCM is the sole general partner of Partners and Partners I and may be deemed to be the indirect beneficial owner of shares beneficially owned by Partners and Partners I. WCM has sole power to direct the voting and disposition of the Common Stock beneficially owned by Partners and Partners I. Messrs. Obus and Landes are the co-managing members of WCM and may each be deemed to be indirect beneficial owners of the Common Stock that WCM may be deemed to beneficially own. Messrs. Obus and Landes share the power to direct voting and disposition of shares WCM may be deemed to beneficially own. WCI is the sole investment manager of Offshore and may be deemed to be the indirect beneficial owner of the Common Stock beneficially owned by Offshore. The voting and dispositive power for each Wynnefield Reporting Person is reflected in the cover-page ownership tables above.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On June 4, 2026, Nelson Obus was granted 25,907 restricted stock units, which convert into shares of Common Stock on a 1-for-1 basis and are not vested or otherwise acquirable within 60 days of the date hereof. Such restricted stock units are excluded from the beneficial ownership calculations reported herein. The delivery of the redemption notices described in Item 4 did not involve a transaction in the Common Stock. The execution of the Support Agreement did not involve an acquisition or disposition of Common Stock by the Wynnefield Reporting Persons. Except as described in Item 4 and in this Item 5(c), no transactions in the Common Stock were effected by the Wynnefield Reporting Persons during the 60 days prior to the date hereof.</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0"/>
              <w:jc w:val="left"/>
              <w:rPr/>
            </w:pPr>
            <w:r>
              <w:rPr/>
              <w:t>No person other than the Wynnefield Reporting Persons is known to have the right to receive or the power to direct the receipt of dividends from, or proceeds from the sale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6 is hereby amended to add the following: On September 27, 2026, the Wynnefield Reporting Persons entered into the Support Agreement with Parent and the Issuer. Pursuant to the Support Agreement, and subject to its terms and conditions, the Wynnefield Reporting Persons agreed to vote their Covered Shares (as defined in the Support Agreement) in favor of the adoption and approval of the Merger Agreement, the merger and the other transactions contemplated by the Merger Agreement, to support certain adjournment or postponement proposals, and to vote against certain competing acquisition proposals and other matters that would reasonably be expected to impede, interfere with or materially and adversely affect the consummation of the merger. The Wynnefield Reporting Persons also agreed to cause their Covered Shares to be present for purposes of establishing a quorum. The Support Agreement contains restrictions on transfers of Covered Shares, subject to specified permitted transfers generally conditioned upon the transferee agreeing to be bound by the Support Agreement. The Support Agreement applies to certain after-acquired shares, including shares of Common Stock acquired upon conversion of Series A Preferred Stock. The Support Agreement generally terminates upon the earliest to occur of the time the required stockholder vote is obtained, the effective time of the merger, the termination of the Merger Agreement or a change in the recommendation of the Issuer's board of directors effected in accordance with the Merger Agreement; provided that, if termination occurs because the required stockholder vote is obtained, the voting obligations in Section 3 survive until the earlier events specified in the Support Agreement. In addition, each Wynnefield Reporting Person may terminate the Support Agreement as to itself following certain adverse changes to the contingent value rights or other consideration payable to it. Certain provisions survive termination. The foregoing description of the Support Agreement does not purport to be complete and is qualified in its entirety by reference to the full text of the Support Agreement, a copy of which is filed as Exhibit 99.1 to this Amendment No. 11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Exhibit 99.1 Voting and Support Agreement, dated as of September 27, 2026, by and among Lifecore, Inc., Lifecore Biomedical, Inc. and the stockholders listed on Schedule A thereto.</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Wynnefield Partners Small Cap Value, L.P. I</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Nelson Obus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Nelson Obus, Co-Managing Member of Wynnefield Capital Management,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Wynnefield Partners Small Cap Value, L.P.</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Nelson Obus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Nelson Obus, Co-Managing Member of Wynnefield Capital Management,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5074"/>
        <w:gridCol w:w="5074"/>
      </w:tblGrid>
      <w:tr>
        <w:trPr/>
        <w:tc>
          <w:tcPr>
            <w:tcW w:w="5074" w:type="dxa"/>
            <w:tcBorders/>
            <w:vAlign w:val="center"/>
          </w:tcPr>
          <w:p>
            <w:pPr>
              <w:pStyle w:val="TableContents"/>
              <w:bidi w:val="0"/>
              <w:spacing w:before="0" w:after="0"/>
              <w:jc w:val="left"/>
              <w:rPr/>
            </w:pPr>
            <w:r>
              <w:rPr/>
              <w:t> </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0"/>
                    <w:jc w:val="left"/>
                    <w:rPr/>
                  </w:pPr>
                  <w:r>
                    <w:rPr/>
                    <w:t>Wynnefield Small Cap Value Offshore Fund, Ltd.</w:t>
                  </w:r>
                </w:p>
              </w:tc>
            </w:tr>
          </w:tbl>
          <w:p>
            <w:pPr>
              <w:pStyle w:val="TableContents"/>
              <w:bidi w:val="0"/>
              <w:spacing w:before="0" w:after="283"/>
              <w:jc w:val="left"/>
              <w:rPr/>
            </w:pPr>
            <w:r>
              <w:rPr/>
            </w:r>
          </w:p>
        </w:tc>
        <w:tc>
          <w:tcPr>
            <w:tcW w:w="5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4"/>
        <w:gridCol w:w="4281"/>
      </w:tblGrid>
      <w:tr>
        <w:trPr/>
        <w:tc>
          <w:tcPr>
            <w:tcW w:w="59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Nelson Obus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Nelson Obus, President of Wynnefield Capital, Inc., its Investment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2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40"/>
        <w:gridCol w:w="4965"/>
      </w:tblGrid>
      <w:tr>
        <w:trPr/>
        <w:tc>
          <w:tcPr>
            <w:tcW w:w="5240" w:type="dxa"/>
            <w:tcBorders/>
            <w:vAlign w:val="center"/>
          </w:tcPr>
          <w:p>
            <w:pPr>
              <w:pStyle w:val="TableContents"/>
              <w:bidi w:val="0"/>
              <w:spacing w:before="0" w:after="0"/>
              <w:jc w:val="left"/>
              <w:rPr/>
            </w:pPr>
            <w:r>
              <w:rPr/>
              <w:t> </w:t>
            </w:r>
          </w:p>
          <w:tbl>
            <w:tblPr>
              <w:tblW w:w="6241" w:type="dxa"/>
              <w:jc w:val="left"/>
              <w:tblInd w:w="0" w:type="dxa"/>
              <w:tblLayout w:type="fixed"/>
              <w:tblCellMar>
                <w:top w:w="28" w:type="dxa"/>
                <w:left w:w="28" w:type="dxa"/>
                <w:bottom w:w="28" w:type="dxa"/>
                <w:right w:w="28" w:type="dxa"/>
              </w:tblCellMar>
            </w:tblPr>
            <w:tblGrid>
              <w:gridCol w:w="6241"/>
            </w:tblGrid>
            <w:tr>
              <w:trPr/>
              <w:tc>
                <w:tcPr>
                  <w:tcW w:w="6241" w:type="dxa"/>
                  <w:tcBorders/>
                  <w:vAlign w:val="center"/>
                </w:tcPr>
                <w:p>
                  <w:pPr>
                    <w:pStyle w:val="TableContents"/>
                    <w:bidi w:val="0"/>
                    <w:spacing w:before="0" w:after="0"/>
                    <w:jc w:val="left"/>
                    <w:rPr/>
                  </w:pPr>
                  <w:r>
                    <w:rPr/>
                    <w:t>Wynnefield Capital, Inc. Profit Sharing &amp; Money Purchase Plan</w:t>
                  </w:r>
                </w:p>
              </w:tc>
            </w:tr>
          </w:tbl>
          <w:p>
            <w:pPr>
              <w:pStyle w:val="TableContents"/>
              <w:bidi w:val="0"/>
              <w:spacing w:before="0" w:after="283"/>
              <w:jc w:val="left"/>
              <w:rPr/>
            </w:pPr>
            <w:r>
              <w:rPr/>
            </w:r>
          </w:p>
        </w:tc>
        <w:tc>
          <w:tcPr>
            <w:tcW w:w="49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9"/>
        <w:gridCol w:w="4446"/>
      </w:tblGrid>
      <w:tr>
        <w:trPr/>
        <w:tc>
          <w:tcPr>
            <w:tcW w:w="57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Nelson Obus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Nelson Obus, Co-Trustee</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46"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Wynnefield Capital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Nelson Obus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Nelson Obus, Co-Managing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Wynnefield Capital, Inc.</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Nelson Obus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Nelson Obus,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Nelson Obus</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Nelson Obus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Nelson Obus, Individually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Joshua Landes</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Joshua H. Landes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Joshua H. Landes, Individually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rPr>
      </w:pPr>
      <w:bookmarkStart w:id="42" w:name="tm2626472d2_ex99-1.htm"/>
      <w:bookmarkStart w:id="43" w:name="kstm2626472d2_ex991"/>
      <w:bookmarkEnd w:id="42"/>
      <w:bookmarkEnd w:id="4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and Support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September 27, 2026, by and among Lifecore,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and the stockholders of Lifecore Biomedical,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Stockholders</w:t>
      </w:r>
      <w:r>
        <w:rPr>
          <w:rFonts w:ascii="Times New Roman;Times;Serif" w:hAnsi="Times New Roman;Times;Serif"/>
          <w:b w:val="false"/>
          <w:i w:val="false"/>
          <w:caps w:val="false"/>
          <w:smallCaps w:val="false"/>
          <w:sz w:val="20"/>
        </w:rPr>
        <w: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Parent, Hazel Merger Sub, Inc., a Delaware corporation and a direct wholly owned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the Company, are entering into an Agreement and Plan of Merger (as it may be amended, supplemented or otherwise modified from time to time,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that, among other things and subject to the terms and conditions set forth therein, provides for the merger of Merger Sub with and into the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Times;Serif" w:hAnsi="Times New Roman;Times;Serif"/>
          <w:b/>
          <w:i/>
          <w:caps w:val="false"/>
          <w:smallCaps w:val="false"/>
          <w:sz w:val="20"/>
        </w:rPr>
        <w:t>CVR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each Stockholder is the record and/or “beneficial owner” (within the meaning of Rule 13d-3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(ii) the number of shares of Series A Convertible Preferred Stock, par value $0.001 per share, of the Company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and together with the Common Stock, the “</w:t>
      </w:r>
      <w:r>
        <w:rPr>
          <w:rFonts w:ascii="Times New Roman;Times;Serif" w:hAnsi="Times New Roman;Times;Serif"/>
          <w:b/>
          <w:i/>
          <w:caps w:val="false"/>
          <w:smallCaps w:val="false"/>
          <w:sz w:val="20"/>
        </w:rPr>
        <w:t>Company Stock</w:t>
      </w:r>
      <w:r>
        <w:rPr>
          <w:rFonts w:ascii="Times New Roman;Times;Serif" w:hAnsi="Times New Roman;Times;Serif"/>
          <w:b w:val="false"/>
          <w:i w:val="false"/>
          <w:caps w:val="false"/>
          <w:smallCaps w:val="false"/>
          <w:sz w:val="20"/>
        </w:rPr>
        <w:t xml:space="preserve">”) as set forth next to such Stockholder’s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with such shares being all of the shares of Company Stock owned of record or beneficially by such Stockholder as of the date hereof (with respect to such Stockholder, the “</w:t>
      </w:r>
      <w:r>
        <w:rPr>
          <w:rFonts w:ascii="Times New Roman;Times;Serif" w:hAnsi="Times New Roman;Times;Serif"/>
          <w:b/>
          <w:i/>
          <w:caps w:val="false"/>
          <w:smallCaps w:val="false"/>
          <w:sz w:val="20"/>
        </w:rPr>
        <w:t>Owned Shares</w:t>
      </w:r>
      <w:r>
        <w:rPr>
          <w:rFonts w:ascii="Times New Roman;Times;Serif" w:hAnsi="Times New Roman;Times;Serif"/>
          <w:b w:val="false"/>
          <w:i w:val="false"/>
          <w:caps w:val="false"/>
          <w:smallCaps w:val="false"/>
          <w:sz w:val="20"/>
        </w:rPr>
        <w:t>”, and the Owned Shares together with any additional shares of Company Stock that such Stockholder may 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Times;Serif" w:hAnsi="Times New Roman;Times;Serif"/>
          <w:b/>
          <w:i/>
          <w:caps w:val="false"/>
          <w:smallCaps w:val="false"/>
          <w:sz w:val="20"/>
        </w:rPr>
        <w:t>Certificate of Designations</w:t>
      </w:r>
      <w:r>
        <w:rPr>
          <w:rFonts w:ascii="Times New Roman;Times;Serif" w:hAnsi="Times New Roman;Times;Serif"/>
          <w:b w:val="false"/>
          <w:i w:val="false"/>
          <w:caps w:val="false"/>
          <w:smallCaps w:val="false"/>
          <w:sz w:val="20"/>
        </w:rPr>
        <w:t>”), such Stockholder’s “</w:t>
      </w:r>
      <w:r>
        <w:rPr>
          <w:rFonts w:ascii="Times New Roman;Times;Serif" w:hAnsi="Times New Roman;Times;Serif"/>
          <w:b/>
          <w:i/>
          <w:caps w:val="false"/>
          <w:smallCaps w:val="false"/>
          <w:sz w:val="20"/>
        </w:rPr>
        <w:t>Covered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Board 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and condition for Parent and Merger Sub to enter into the Merger Agreement, each Stockholder has agreed to enter into this Agreement with respect to such Stockholder’s Covered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Expiration Time</w:t>
      </w:r>
      <w:r>
        <w:rPr>
          <w:rFonts w:ascii="Times New Roman;Times;Serif" w:hAnsi="Times New Roman;Times;Serif"/>
          <w:b w:val="false"/>
          <w:i w:val="false"/>
          <w:caps w:val="false"/>
          <w:smallCaps w:val="false"/>
          <w:sz w:val="20"/>
        </w:rPr>
        <w:t xml:space="preserve">”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 termination of this Agreement pursuant to the foregoing clause (a),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Times;Serif" w:hAnsi="Times New Roman;Times;Serif"/>
          <w:b w:val="false"/>
          <w:i w:val="false"/>
          <w:caps w:val="false"/>
          <w:smallCaps w:val="false"/>
          <w:sz w:val="20"/>
          <w:u w:val="single"/>
        </w:rPr>
        <w:t>Section 10.18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w:t>
      </w:r>
      <w:r>
        <w:rPr>
          <w:rFonts w:ascii="Times New Roman;Times;Serif" w:hAnsi="Times New Roman;Times;Serif"/>
          <w:b w:val="false"/>
          <w:i w:val="false"/>
          <w:caps w:val="false"/>
          <w:smallCaps w:val="false"/>
          <w:sz w:val="20"/>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 (b) 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2.            </w:t>
      </w:r>
      <w:r>
        <w:rPr>
          <w:rFonts w:ascii="Times New Roman;Times;Serif" w:hAnsi="Times New Roman;Times;Serif"/>
          <w:b w:val="false"/>
          <w:i w:val="false"/>
          <w:caps w:val="false"/>
          <w:smallCaps w:val="false"/>
          <w:sz w:val="20"/>
          <w:u w:val="single"/>
        </w:rPr>
        <w:t>Agreement to Not Transfer the Covered Shares</w:t>
      </w:r>
      <w:r>
        <w:rPr>
          <w:rFonts w:ascii="Times New Roman;Times;Serif" w:hAnsi="Times New Roman;Times;Serif"/>
          <w:b w:val="false"/>
          <w:i w:val="false"/>
          <w:caps w:val="false"/>
          <w:smallCaps w:val="false"/>
          <w:sz w:val="20"/>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3.            </w:t>
      </w:r>
      <w:r>
        <w:rPr>
          <w:rFonts w:ascii="Times New Roman;Times;Serif" w:hAnsi="Times New Roman;Times;Serif"/>
          <w:b w:val="false"/>
          <w:i w:val="false"/>
          <w:caps w:val="false"/>
          <w:smallCaps w:val="false"/>
          <w:sz w:val="20"/>
          <w:u w:val="single"/>
        </w:rPr>
        <w:t>Agreement to Vote the Covered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3.1            </w:t>
      </w:r>
      <w:r>
        <w:rPr>
          <w:rFonts w:ascii="Times New Roman;Times;Serif" w:hAnsi="Times New Roman;Times;Serif"/>
          <w:b w:val="false"/>
          <w:i w:val="false"/>
          <w:caps w:val="false"/>
          <w:smallCaps w:val="false"/>
          <w:sz w:val="20"/>
        </w:rPr>
        <w:t>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 favor of the approval and adoption of the Merger Agreement and approval of the Merger and the other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favor of the approval of any proposal to adjourn or postpone the meeting to a later date if there are not sufficient votes present for there to be a quorum or for the approval and adoption of the Merger Agreement on the date on which such meeting is held;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3.2            </w:t>
      </w:r>
      <w:r>
        <w:rPr>
          <w:rFonts w:ascii="Times New Roman;Times;Serif" w:hAnsi="Times New Roman;Times;Serif"/>
          <w:b w:val="false"/>
          <w:i w:val="false"/>
          <w:caps w:val="false"/>
          <w:smallCaps w:val="false"/>
          <w:sz w:val="20"/>
        </w:rPr>
        <w:t>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3.3            </w:t>
      </w:r>
      <w:r>
        <w:rPr>
          <w:rFonts w:ascii="Times New Roman;Times;Serif" w:hAnsi="Times New Roman;Times;Serif"/>
          <w:b w:val="false"/>
          <w:i w:val="false"/>
          <w:caps w:val="false"/>
          <w:smallCaps w:val="false"/>
          <w:sz w:val="20"/>
        </w:rPr>
        <w:t xml:space="preserve">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then the obligations of each Stockholder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be of no force and effect for so long as such order is in effect solely to the extent such order restrains, enjoins or otherwise prohibits such Stockholder from taking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4.            </w:t>
      </w:r>
      <w:r>
        <w:rPr>
          <w:rFonts w:ascii="Times New Roman;Times;Serif" w:hAnsi="Times New Roman;Times;Serif"/>
          <w:b w:val="false"/>
          <w:i w:val="false"/>
          <w:caps w:val="false"/>
          <w:smallCaps w:val="false"/>
          <w:sz w:val="20"/>
          <w:u w:val="single"/>
        </w:rPr>
        <w:t>Waiver of Appraisal Rights and Certain Other Actions</w:t>
      </w:r>
      <w:r>
        <w:rPr>
          <w:rFonts w:ascii="Times New Roman;Times;Serif" w:hAnsi="Times New Roman;Times;Serif"/>
          <w:b w:val="false"/>
          <w:i w:val="false"/>
          <w:caps w:val="false"/>
          <w:smallCaps w:val="false"/>
          <w:sz w:val="20"/>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5.            </w:t>
      </w:r>
      <w:r>
        <w:rPr>
          <w:rFonts w:ascii="Times New Roman;Times;Serif" w:hAnsi="Times New Roman;Times;Serif"/>
          <w:b w:val="false"/>
          <w:i w:val="false"/>
          <w:caps w:val="false"/>
          <w:smallCaps w:val="false"/>
          <w:sz w:val="20"/>
          <w:u w:val="single"/>
        </w:rPr>
        <w:t>New Shares</w:t>
      </w:r>
      <w:r>
        <w:rPr>
          <w:rFonts w:ascii="Times New Roman;Times;Serif" w:hAnsi="Times New Roman;Times;Serif"/>
          <w:b w:val="false"/>
          <w:i w:val="false"/>
          <w:caps w:val="false"/>
          <w:smallCaps w:val="false"/>
          <w:sz w:val="20"/>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6.            </w:t>
      </w:r>
      <w:r>
        <w:rPr>
          <w:rFonts w:ascii="Times New Roman;Times;Serif" w:hAnsi="Times New Roman;Times;Serif"/>
          <w:b w:val="false"/>
          <w:i w:val="false"/>
          <w:caps w:val="false"/>
          <w:smallCaps w:val="false"/>
          <w:sz w:val="20"/>
          <w:u w:val="single"/>
        </w:rPr>
        <w:t>Fiduciary Duties</w:t>
      </w:r>
      <w:r>
        <w:rPr>
          <w:rFonts w:ascii="Times New Roman;Times;Serif" w:hAnsi="Times New Roman;Times;Serif"/>
          <w:b w:val="false"/>
          <w:i w:val="false"/>
          <w:caps w:val="false"/>
          <w:smallCaps w:val="false"/>
          <w:sz w:val="20"/>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7.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Each Stockholder hereby represents and warrants, severally as to itself only, to Parent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xml:space="preserve">.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 hereby have been validly authorized, and, assuming the accuracy of the representations and warranties set forth in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7.2            </w:t>
      </w:r>
      <w:r>
        <w:rPr>
          <w:rFonts w:ascii="Times New Roman;Times;Serif" w:hAnsi="Times New Roman;Times;Serif"/>
          <w:b w:val="false"/>
          <w:i w:val="false"/>
          <w:caps w:val="false"/>
          <w:smallCaps w:val="false"/>
          <w:sz w:val="20"/>
          <w:u w:val="single"/>
        </w:rPr>
        <w:t>Ownership of the Covered Shares</w:t>
      </w:r>
      <w:r>
        <w:rPr>
          <w:rFonts w:ascii="Times New Roman;Times;Serif" w:hAnsi="Times New Roman;Times;Serif"/>
          <w:b w:val="false"/>
          <w:i w:val="false"/>
          <w:caps w:val="false"/>
          <w:smallCaps w:val="false"/>
          <w:sz w:val="20"/>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7.3            </w:t>
      </w:r>
      <w:r>
        <w:rPr>
          <w:rFonts w:ascii="Times New Roman;Times;Serif" w:hAnsi="Times New Roman;Times;Serif"/>
          <w:b w:val="false"/>
          <w:i w:val="false"/>
          <w:caps w:val="false"/>
          <w:smallCaps w:val="false"/>
          <w:sz w:val="20"/>
          <w:u w:val="single"/>
        </w:rPr>
        <w:t>No Conflict;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in the case of each of clauses (i) through (iii), except for such violations, breaches or defaults as would not prevent, delay or impair in any respect the ability of the Stockholder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7.4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8.            </w:t>
      </w:r>
      <w:r>
        <w:rPr>
          <w:rFonts w:ascii="Times New Roman;Times;Serif" w:hAnsi="Times New Roman;Times;Serif"/>
          <w:b w:val="false"/>
          <w:i w:val="false"/>
          <w:caps w:val="false"/>
          <w:smallCaps w:val="false"/>
          <w:sz w:val="20"/>
          <w:u w:val="single"/>
        </w:rPr>
        <w:t>Representations and Warranties of Parent</w:t>
      </w:r>
      <w:r>
        <w:rPr>
          <w:rFonts w:ascii="Times New Roman;Times;Serif" w:hAnsi="Times New Roman;Times;Serif"/>
          <w:b w:val="false"/>
          <w:i w:val="false"/>
          <w:caps w:val="false"/>
          <w:smallCaps w:val="false"/>
          <w:sz w:val="20"/>
        </w:rPr>
        <w:t>. Parent hereby represents and warrants to the Stockholder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8.2            </w:t>
      </w:r>
      <w:r>
        <w:rPr>
          <w:rFonts w:ascii="Times New Roman;Times;Serif" w:hAnsi="Times New Roman;Times;Serif"/>
          <w:b w:val="false"/>
          <w:i w:val="false"/>
          <w:caps w:val="false"/>
          <w:smallCaps w:val="false"/>
          <w:sz w:val="20"/>
          <w:u w:val="single"/>
        </w:rPr>
        <w:t>No Conflict;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in the case of each of clauses (i) through (iii), except for such violations, breaches or defaults as would not prevent, materially delay or materially impair the ability of Parent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8.3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9.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Subject in all cases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require the Stockholder to take, or refrain from taking, any action in the Stockholder’s capacity as a director or officer of the Company, and the Stockholder’s obligations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be subject to, and shall not limit, the Stockholder’s exercise of his or her fiduciary duties as a director or officer of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10.2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10.3          </w:t>
      </w:r>
      <w:r>
        <w:rPr>
          <w:rFonts w:ascii="Times New Roman;Times;Serif" w:hAnsi="Times New Roman;Times;Serif"/>
          <w:b w:val="false"/>
          <w:i w:val="false"/>
          <w:caps w:val="false"/>
          <w:smallCaps w:val="false"/>
          <w:sz w:val="20"/>
          <w:u w:val="single"/>
        </w:rPr>
        <w:t>Amendments and Modifications</w:t>
      </w:r>
      <w:r>
        <w:rPr>
          <w:rFonts w:ascii="Times New Roman;Times;Serif" w:hAnsi="Times New Roman;Times;Serif"/>
          <w:b w:val="false"/>
          <w:i w:val="false"/>
          <w:caps w:val="false"/>
          <w:smallCaps w:val="false"/>
          <w:sz w:val="20"/>
        </w:rPr>
        <w:t>. This Agreement may not be modified, amended, altered or supplemented except upon the execution and delivery of a written agreement executed by all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costs and expenses incurred in connection with this Agreement shall be paid by the Party incurring such cost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“bounce back” or similar message of non-delivery is received with respect thereto) or (d) if sent by email transmission after 5:00 p.m. Eastern Time, the business day following the date of transmission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 back” or similar message of non-delivery is received with respect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Stockholders,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Inc.</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 Suite 509</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10123</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Nelson Obus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Kane Kessler, P.C.</w:t>
        <w:br/>
        <w:t>600 Third Avenue, 35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10016</w:t>
        <w:br/>
        <w:t>Attention: Robert L. Lawrence, Esq.</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rlawrence@kanekessler.com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Parent,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Lifecore Inc., a Delaware corporation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Winter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4th Floor, North Entrance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Matthew Beer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Eighth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Joshua M. Zachariah; Peter Hanoian; Richard E. Schwartz</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jzachariah@goodwinlaw.com; phanoian@goodwinlaw.com; richardschwartz@goodwinlaw.com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Lifecore Biomedical,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 Lyman Blvd.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Chaska, MN 55318-3051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Paul Josephs and Tom Salus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Ballard Spahr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South 8th Street, Suite 2000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55402-3808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April Hamlin, Brian Short and Barbara Lano Rummel</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hamlina@ballardspahr.com; shortb@ballardspahr.com; and rummelb@ballardspahr.com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10.6          </w:t>
      </w:r>
      <w:r>
        <w:rPr>
          <w:rFonts w:ascii="Times New Roman;Times;Serif" w:hAnsi="Times New Roman;Times;Serif"/>
          <w:b w:val="false"/>
          <w:i w:val="false"/>
          <w:caps w:val="false"/>
          <w:smallCaps w:val="false"/>
          <w:sz w:val="20"/>
          <w:u w:val="single"/>
        </w:rPr>
        <w:t>Enforcement; Exclusive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Times;Serif" w:hAnsi="Times New Roman;Times;Serif"/>
          <w:b w:val="false"/>
          <w:i w:val="false"/>
          <w:caps w:val="false"/>
          <w:smallCaps w:val="false"/>
          <w:sz w:val="20"/>
          <w:u w:val="single"/>
        </w:rPr>
        <w:t>Section 10.6(a)</w:t>
      </w:r>
      <w:r>
        <w:rPr>
          <w:rFonts w:ascii="Times New Roman;Times;Serif" w:hAnsi="Times New Roman;Times;Serif"/>
          <w:b w:val="false"/>
          <w:i w:val="false"/>
          <w:caps w:val="false"/>
          <w:smallCaps w:val="false"/>
          <w:sz w:val="20"/>
        </w:rPr>
        <w:t>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HEREBY KNOWINGLY, INTENTIONALLY AND VOLUNTARILY IRREVOCABLY WAIVES ANY AND ALL RIGHTS TO TRIAL BY JURY IN ANY LEGAL PROCEEDING ARISING OUT OF OR RELATED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10.8          </w:t>
      </w:r>
      <w:r>
        <w:rPr>
          <w:rFonts w:ascii="Times New Roman;Times;Serif" w:hAnsi="Times New Roman;Times;Serif"/>
          <w:b w:val="false"/>
          <w:i w:val="false"/>
          <w:caps w:val="false"/>
          <w:smallCaps w:val="false"/>
          <w:sz w:val="20"/>
          <w:u w:val="single"/>
        </w:rPr>
        <w:t>Documentation and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 Company’s sole discretion, as applicable, may file this Agreement or a form hereof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or any other Governmental Body. Such Stockholder agrees to promptly give Parent and the Company any information they may reasonably request for the preparation of any such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including the exhibits, schedules and annexes hereto, constitutes the entire agreement and supersedes all prior agreements and understandings, both written and oral, among the parties with respect to the subject matter hereof. </w:t>
      </w:r>
      <w:r>
        <w:rPr>
          <w:rFonts w:ascii="Times New Roman;Times;Serif" w:hAnsi="Times New Roman;Times;Serif"/>
          <w:b w:val="false"/>
          <w:i w:val="false"/>
          <w:caps w:val="false"/>
          <w:smallCaps w:val="false"/>
          <w:sz w:val="20"/>
          <w:shd w:fill="FFFFFF" w:val="clear"/>
        </w:rPr>
        <w:t>For the avoidance of doubt, nothing in this Agreement shall be deemed to amend, alter or modify, in any respect, any of the provisions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10.11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Stockholder understands and acknowledges that Parent and Merger Sub are entering into the Merger Agreement in reliance upon such Stockholder’s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10.13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GIVING EFFECT TO CONFLICTS OF LAWS PRINCIPLES THAT WOULD RESULT IN THE APPLICATION OF THE LAW OF ANY OTHER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10.17       </w:t>
      </w:r>
      <w:r>
        <w:rPr>
          <w:rFonts w:ascii="Times New Roman;Times;Serif" w:hAnsi="Times New Roman;Times;Serif"/>
          <w:b w:val="false"/>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shall not limit any covenant or agreement contained in this Agreement that by its terms is to be performed in whole or in part after the Effective Time or the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automatically terminate without further action by any of the parties hereto and shall have no further force or effect as of the earliest to occur of (a) the Expiration Time or (b) 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10.19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 (b) the Merger Agreement is executed by all parties thereto, and (c) this Agreement is executed by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350"/>
        <w:gridCol w:w="1745"/>
      </w:tblGrid>
      <w:tr>
        <w:trPr/>
        <w:tc>
          <w:tcPr>
            <w:tcW w:w="75" w:type="dxa"/>
            <w:tcBorders/>
            <w:vAlign w:val="center"/>
          </w:tcPr>
          <w:p>
            <w:pPr>
              <w:pStyle w:val="TableContents"/>
              <w:bidi w:val="0"/>
              <w:spacing w:before="0" w:after="283"/>
              <w:jc w:val="left"/>
              <w:rPr/>
            </w:pPr>
            <w:r>
              <w:rPr/>
              <w:t> </w:t>
            </w:r>
          </w:p>
        </w:tc>
        <w:tc>
          <w:tcPr>
            <w:tcW w:w="209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Lifecore, Inc.</w:t>
            </w:r>
          </w:p>
        </w:tc>
      </w:tr>
      <w:tr>
        <w:trPr/>
        <w:tc>
          <w:tcPr>
            <w:tcW w:w="75" w:type="dxa"/>
            <w:tcBorders/>
            <w:vAlign w:val="center"/>
          </w:tcPr>
          <w:p>
            <w:pPr>
              <w:pStyle w:val="TableContents"/>
              <w:bidi w:val="0"/>
              <w:spacing w:before="0" w:after="283"/>
              <w:jc w:val="left"/>
              <w:rPr/>
            </w:pPr>
            <w:r>
              <w:rPr/>
              <w:t> </w:t>
            </w:r>
          </w:p>
        </w:tc>
        <w:tc>
          <w:tcPr>
            <w:tcW w:w="20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Beer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Beer</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159" w:type="dxa"/>
        <w:jc w:val="left"/>
        <w:tblInd w:w="0" w:type="dxa"/>
        <w:tblLayout w:type="fixed"/>
        <w:tblCellMar>
          <w:top w:w="0" w:type="dxa"/>
          <w:left w:w="0" w:type="dxa"/>
          <w:bottom w:w="0" w:type="dxa"/>
          <w:right w:w="0" w:type="dxa"/>
        </w:tblCellMar>
      </w:tblPr>
      <w:tblGrid>
        <w:gridCol w:w="75"/>
        <w:gridCol w:w="711"/>
        <w:gridCol w:w="6373"/>
      </w:tblGrid>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WYNNEFIELD PARTNERS SMALL CAP VALUE, L.P. I</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Management, LLC,</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caps w:val="false"/>
                <w:smallCaps w:val="false"/>
              </w:rPr>
            </w:pPr>
            <w:r>
              <w:rPr>
                <w:caps w:val="false"/>
                <w:smallCaps w:val="false"/>
              </w:rPr>
              <w:t> </w:t>
            </w:r>
          </w:p>
        </w:tc>
        <w:tc>
          <w:tcPr>
            <w:tcW w:w="6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Co-Managing Member</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WYNNEFIELD PARTNERS SMALL CAP VALUE, L.P.</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Management, LLC,</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caps w:val="false"/>
                <w:smallCaps w:val="false"/>
              </w:rPr>
            </w:pPr>
            <w:r>
              <w:rPr>
                <w:caps w:val="false"/>
                <w:smallCaps w:val="false"/>
              </w:rPr>
              <w:t> </w:t>
            </w:r>
          </w:p>
        </w:tc>
        <w:tc>
          <w:tcPr>
            <w:tcW w:w="6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Co-Managing Member</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WYNNEFIELD SMALL CAP VALUE OFFSHORE FUND, LTD.</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Inc.,</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caps w:val="false"/>
                <w:smallCaps w:val="false"/>
              </w:rPr>
            </w:pPr>
            <w:r>
              <w:rPr>
                <w:caps w:val="false"/>
                <w:smallCaps w:val="false"/>
              </w:rPr>
              <w:t> </w:t>
            </w:r>
          </w:p>
        </w:tc>
        <w:tc>
          <w:tcPr>
            <w:tcW w:w="6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WYNNEFIELD CAPITAL INC. PROFIT SHARING &amp; MONEY PURCHASE PLAN</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3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Nelson Obus</w:t>
            </w:r>
          </w:p>
        </w:tc>
      </w:tr>
      <w:tr>
        <w:trPr/>
        <w:tc>
          <w:tcPr>
            <w:tcW w:w="75" w:type="dxa"/>
            <w:tcBorders/>
            <w:vAlign w:val="center"/>
          </w:tcPr>
          <w:p>
            <w:pPr>
              <w:pStyle w:val="TableContents"/>
              <w:bidi w:val="0"/>
              <w:spacing w:before="0" w:after="283"/>
              <w:jc w:val="left"/>
              <w:rPr/>
            </w:pPr>
            <w:r>
              <w:rPr/>
              <w:t> </w:t>
            </w:r>
          </w:p>
        </w:tc>
        <w:tc>
          <w:tcPr>
            <w:tcW w:w="70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75"/>
        <w:gridCol w:w="932"/>
        <w:gridCol w:w="3347"/>
      </w:tblGrid>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WYNNEFIELD CAPITAL MANAGEMENT, LLC</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Co-Managing Member</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WYNNEFIELD CAPITAL, INC.</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Nelson Obus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LANDES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Joshua Landes</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Landes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331"/>
        <w:gridCol w:w="2538"/>
      </w:tblGrid>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LIFECORE BIOMEDICAL, INC.</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Josephs</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2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Josephs</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caps w:val="false"/>
                <w:smallCaps w:val="false"/>
              </w:rPr>
            </w:pPr>
            <w:r>
              <w:rPr>
                <w:caps w:val="false"/>
                <w:smallCaps w:val="false"/>
              </w:rPr>
              <w:t> </w:t>
            </w:r>
          </w:p>
        </w:tc>
        <w:tc>
          <w:tcPr>
            <w:tcW w:w="2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60"/>
        <w:gridCol w:w="845"/>
        <w:gridCol w:w="60"/>
        <w:gridCol w:w="60"/>
        <w:gridCol w:w="65"/>
        <w:gridCol w:w="820"/>
        <w:gridCol w:w="60"/>
        <w:gridCol w:w="60"/>
        <w:gridCol w:w="84"/>
        <w:gridCol w:w="1555"/>
        <w:gridCol w:w="78"/>
      </w:tblGrid>
      <w:tr>
        <w:trPr/>
        <w:tc>
          <w:tcPr>
            <w:tcW w:w="639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br/>
              <w:t xml:space="preserve">Common </w:t>
              <w:b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br/>
              <w:t xml:space="preserve">Preferred </w:t>
              <w:b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of</w:t>
              <w:br/>
              <w:t>Common Stock</w:t>
              <w:br/>
              <w:t>Beneficially Owned</w:t>
              <w:br/>
              <w:t>Assuming Full</w:t>
              <w:br/>
              <w:t>Conversion of</w:t>
              <w:br/>
              <w:t>Preferred Stock</w:t>
            </w:r>
          </w:p>
        </w:tc>
        <w:tc>
          <w:tcPr>
            <w:tcW w:w="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PARTNERS SMALL CAP VALUE, L.P. 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2,095,783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2,405,089.38</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PARTNERS SMALL CAP VALUE, L.P.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1,345,085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1,551,294.67</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SMALL CAP VALUE OFFSHORE FUND,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895,498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1,024,375.56</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INC. PROFIT SHARING &amp; MONEY PURCHASE PLAN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367,350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367,350.00</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MANAGEMENT,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3,440,868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3,956,384.05</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WYNNEFIELD CAPITAL,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895,498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1,024,375.56</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NELSON OBUS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4,867,816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5,512,209.61</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LANDES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4,703,716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5,348,109.61</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11138</Words>
  <Characters>59358</Characters>
  <CharactersWithSpaces>70934</CharactersWithSpaces>
  <Paragraphs>1007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