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660"/>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August 7, 2025</w:t>
      </w:r>
    </w:p>
    <w:p>
      <w:pPr>
        <w:spacing w:after="0" w:line="156" w:lineRule="exact"/>
        <w:rPr>
          <w:sz w:val="24"/>
          <w:szCs w:val="24"/>
          <w:color w:val="auto"/>
        </w:rPr>
      </w:pPr>
    </w:p>
    <w:p>
      <w:pPr>
        <w:ind w:left="8440"/>
        <w:spacing w:after="0"/>
        <w:rPr>
          <w:sz w:val="20"/>
          <w:szCs w:val="20"/>
          <w:color w:val="auto"/>
        </w:rPr>
      </w:pPr>
      <w:r>
        <w:rPr>
          <w:rFonts w:ascii="Times New Roman" w:cs="Times New Roman" w:eastAsia="Times New Roman" w:hAnsi="Times New Roman"/>
          <w:sz w:val="17"/>
          <w:szCs w:val="17"/>
          <w:b w:val="1"/>
          <w:bCs w:val="1"/>
          <w:color w:val="auto"/>
        </w:rPr>
        <w:t>Registration No. 333-_____________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UNITED STATES</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6"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20"/>
          <w:szCs w:val="20"/>
          <w:color w:val="auto"/>
        </w:rPr>
        <w:t>____________________________</w:t>
      </w:r>
    </w:p>
    <w:p>
      <w:pPr>
        <w:spacing w:after="0" w:line="1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FORM S-8</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REGISTRATION STATEMENT UNDER THE SECURITIES ACT OF 1933</w:t>
      </w:r>
    </w:p>
    <w:p>
      <w:pPr>
        <w:spacing w:after="0" w:line="25"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20"/>
          <w:szCs w:val="20"/>
          <w:color w:val="auto"/>
        </w:rPr>
        <w:t>____________________________</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LIFECORE BIOMEDICAL, INC.</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ectPr>
          <w:pgSz w:w="11900" w:h="16838" w:orient="portrait"/>
          <w:cols w:equalWidth="0" w:num="1">
            <w:col w:w="11240"/>
          </w:cols>
          <w:pgMar w:left="320" w:top="738" w:right="339" w:bottom="1440" w:gutter="0" w:footer="0" w:header="0"/>
        </w:sectPr>
      </w:pPr>
    </w:p>
    <w:p>
      <w:pPr>
        <w:spacing w:after="0" w:line="276"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9"/>
          <w:szCs w:val="19"/>
          <w:b w:val="1"/>
          <w:bCs w:val="1"/>
          <w:color w:val="auto"/>
        </w:rPr>
        <w:t>Delaware</w:t>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94-3025618</w:t>
      </w:r>
    </w:p>
    <w:p>
      <w:pPr>
        <w:spacing w:after="0" w:line="37" w:lineRule="exact"/>
        <w:rPr>
          <w:sz w:val="24"/>
          <w:szCs w:val="24"/>
          <w:color w:val="auto"/>
        </w:rPr>
      </w:pPr>
    </w:p>
    <w:p>
      <w:pPr>
        <w:sectPr>
          <w:pgSz w:w="11900" w:h="16838" w:orient="portrait"/>
          <w:cols w:equalWidth="0" w:num="2">
            <w:col w:w="7700" w:space="720"/>
            <w:col w:w="2820"/>
          </w:cols>
          <w:pgMar w:left="320" w:top="738" w:right="339" w:bottom="1440" w:gutter="0" w:footer="0" w:header="0"/>
          <w:type w:val="continuous"/>
        </w:sectPr>
      </w:pPr>
    </w:p>
    <w:p>
      <w:pPr>
        <w:jc w:val="center"/>
        <w:ind w:right="2600"/>
        <w:spacing w:after="0"/>
        <w:rPr>
          <w:sz w:val="20"/>
          <w:szCs w:val="20"/>
          <w:color w:val="auto"/>
        </w:rPr>
      </w:pPr>
      <w:r>
        <w:rPr>
          <w:rFonts w:ascii="Times New Roman" w:cs="Times New Roman" w:eastAsia="Times New Roman" w:hAnsi="Times New Roman"/>
          <w:sz w:val="20"/>
          <w:szCs w:val="20"/>
          <w:color w:val="auto"/>
        </w:rPr>
        <w:t>(State or jurisdiction</w:t>
      </w:r>
    </w:p>
    <w:p>
      <w:pPr>
        <w:jc w:val="center"/>
        <w:ind w:right="2600"/>
        <w:spacing w:after="0"/>
        <w:rPr>
          <w:sz w:val="20"/>
          <w:szCs w:val="20"/>
          <w:color w:val="auto"/>
        </w:rPr>
      </w:pPr>
      <w:r>
        <w:rPr>
          <w:rFonts w:ascii="Times New Roman" w:cs="Times New Roman" w:eastAsia="Times New Roman" w:hAnsi="Times New Roman"/>
          <w:sz w:val="19"/>
          <w:szCs w:val="19"/>
          <w:color w:val="auto"/>
        </w:rPr>
        <w:t>of 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20"/>
          <w:szCs w:val="20"/>
          <w:color w:val="auto"/>
        </w:rPr>
        <w:t>(I.R.S. Employer</w:t>
      </w:r>
    </w:p>
    <w:p>
      <w:pPr>
        <w:spacing w:after="0"/>
        <w:rPr>
          <w:sz w:val="20"/>
          <w:szCs w:val="20"/>
          <w:color w:val="auto"/>
        </w:rPr>
      </w:pPr>
      <w:r>
        <w:rPr>
          <w:rFonts w:ascii="Times New Roman" w:cs="Times New Roman" w:eastAsia="Times New Roman" w:hAnsi="Times New Roman"/>
          <w:sz w:val="19"/>
          <w:szCs w:val="19"/>
          <w:color w:val="auto"/>
        </w:rPr>
        <w:t>Identification No.)</w:t>
      </w:r>
    </w:p>
    <w:p>
      <w:pPr>
        <w:spacing w:after="0" w:line="200" w:lineRule="exact"/>
        <w:rPr>
          <w:sz w:val="24"/>
          <w:szCs w:val="24"/>
          <w:color w:val="auto"/>
        </w:rPr>
      </w:pPr>
    </w:p>
    <w:p>
      <w:pPr>
        <w:sectPr>
          <w:pgSz w:w="11900" w:h="16838" w:orient="portrait"/>
          <w:cols w:equalWidth="0" w:num="2">
            <w:col w:w="7440" w:space="720"/>
            <w:col w:w="3080"/>
          </w:cols>
          <w:pgMar w:left="320" w:top="738" w:right="339" w:bottom="1440" w:gutter="0" w:footer="0" w:header="0"/>
          <w:type w:val="continuous"/>
        </w:sectPr>
      </w:pP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3515 Lyman Boulevard</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Chaska, Minnesota 55318</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(Address of principal executive offices and zip code)</w:t>
      </w:r>
    </w:p>
    <w:p>
      <w:pPr>
        <w:spacing w:after="0" w:line="117"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20"/>
          <w:szCs w:val="20"/>
          <w:color w:val="auto"/>
        </w:rPr>
        <w:t>____________________________</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Lifecore Biomedical, Inc.</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Equity Inducement Plan, as Amended</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(Full Title of the Plan)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____________________________</w:t>
      </w:r>
    </w:p>
    <w:p>
      <w:pPr>
        <w:spacing w:after="0" w:line="205" w:lineRule="exact"/>
        <w:rPr>
          <w:sz w:val="24"/>
          <w:szCs w:val="24"/>
          <w:color w:val="auto"/>
        </w:rPr>
      </w:pPr>
    </w:p>
    <w:p>
      <w:pPr>
        <w:ind w:left="6640"/>
        <w:spacing w:after="0"/>
        <w:rPr>
          <w:sz w:val="20"/>
          <w:szCs w:val="20"/>
          <w:color w:val="auto"/>
        </w:rPr>
      </w:pPr>
      <w:r>
        <w:rPr>
          <w:rFonts w:ascii="Times New Roman" w:cs="Times New Roman" w:eastAsia="Times New Roman" w:hAnsi="Times New Roman"/>
          <w:sz w:val="17"/>
          <w:szCs w:val="17"/>
          <w:color w:val="auto"/>
        </w:rPr>
        <w:t>Copy of all communications to:</w:t>
      </w:r>
    </w:p>
    <w:p>
      <w:pPr>
        <w:sectPr>
          <w:pgSz w:w="11900" w:h="16838" w:orient="portrait"/>
          <w:cols w:equalWidth="0" w:num="1">
            <w:col w:w="11240"/>
          </w:cols>
          <w:pgMar w:left="320" w:top="738" w:right="339" w:bottom="1440" w:gutter="0" w:footer="0" w:header="0"/>
          <w:type w:val="continuous"/>
        </w:sectPr>
      </w:pPr>
    </w:p>
    <w:p>
      <w:pPr>
        <w:spacing w:after="0" w:line="18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Ryan D. Lake</w:t>
      </w:r>
    </w:p>
    <w:p>
      <w:pPr>
        <w:spacing w:after="0" w:line="2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Lifecore Biomedical, Inc.</w:t>
      </w:r>
    </w:p>
    <w:p>
      <w:pPr>
        <w:spacing w:after="0" w:line="2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3515 Lyman Boulevard</w:t>
      </w:r>
    </w:p>
    <w:p>
      <w:pPr>
        <w:spacing w:after="0" w:line="2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Chaska, Minnesota 55318</w:t>
      </w:r>
    </w:p>
    <w:p>
      <w:pPr>
        <w:spacing w:after="0" w:line="2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(952) 368-4300</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April Hamlin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Ballard Spahr LLP</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2000 IDS Center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80 South 8th Street</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Minneapolis, Minnesota 55402</w:t>
      </w:r>
    </w:p>
    <w:p>
      <w:pPr>
        <w:spacing w:after="0" w:line="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(612) 371-3211</w:t>
      </w:r>
    </w:p>
    <w:p>
      <w:pPr>
        <w:spacing w:after="0" w:line="200" w:lineRule="exact"/>
        <w:rPr>
          <w:sz w:val="24"/>
          <w:szCs w:val="24"/>
          <w:color w:val="auto"/>
        </w:rPr>
      </w:pPr>
    </w:p>
    <w:p>
      <w:pPr>
        <w:sectPr>
          <w:pgSz w:w="11900" w:h="16838" w:orient="portrait"/>
          <w:cols w:equalWidth="0" w:num="2">
            <w:col w:w="5920" w:space="720"/>
            <w:col w:w="4600"/>
          </w:cols>
          <w:pgMar w:left="320" w:top="738" w:right="339" w:bottom="1440" w:gutter="0" w:footer="0" w:header="0"/>
          <w:type w:val="continuous"/>
        </w:sectPr>
      </w:pP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(Name, address and telephone number, including area code, of agent for service)</w:t>
      </w:r>
    </w:p>
    <w:p>
      <w:pPr>
        <w:spacing w:after="0" w:line="189"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38" w:right="339" w:bottom="1440" w:gutter="0" w:footer="0" w:header="0"/>
          <w:type w:val="continuous"/>
        </w:sectPr>
      </w:pPr>
    </w:p>
    <w:p>
      <w:pPr>
        <w:spacing w:after="0" w:line="166"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7"/>
          <w:szCs w:val="17"/>
          <w:color w:val="auto"/>
        </w:rPr>
        <w:t>Large accelerated filer [ ]</w:t>
      </w:r>
    </w:p>
    <w:p>
      <w:pPr>
        <w:spacing w:after="0" w:line="39"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color w:val="auto"/>
        </w:rPr>
        <w:t>Non-accelerated filer [ ]</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 [X]</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 [X]</w:t>
      </w:r>
    </w:p>
    <w:p>
      <w:pPr>
        <w:spacing w:after="0" w:line="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 ]</w:t>
      </w:r>
    </w:p>
    <w:p>
      <w:pPr>
        <w:spacing w:after="0" w:line="200" w:lineRule="exact"/>
        <w:rPr>
          <w:sz w:val="24"/>
          <w:szCs w:val="24"/>
          <w:color w:val="auto"/>
        </w:rPr>
      </w:pPr>
    </w:p>
    <w:p>
      <w:pPr>
        <w:sectPr>
          <w:pgSz w:w="11900" w:h="16838" w:orient="portrait"/>
          <w:cols w:equalWidth="0" w:num="2">
            <w:col w:w="4540" w:space="720"/>
            <w:col w:w="5980"/>
          </w:cols>
          <w:pgMar w:left="320" w:top="738" w:right="339" w:bottom="1440" w:gutter="0" w:footer="0" w:header="0"/>
          <w:type w:val="continuous"/>
        </w:sectPr>
      </w:pPr>
    </w:p>
    <w:p>
      <w:pPr>
        <w:spacing w:after="0" w:line="70" w:lineRule="exact"/>
        <w:rPr>
          <w:sz w:val="24"/>
          <w:szCs w:val="24"/>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If an emerging growth company, indicate by check mark if the registrant has elected not to use the extended transition period for complying with any new or revised financial accounting standards provided pursuant to Section 7(a)(2)(B) of the Securities Act. [ ]</w:t>
      </w:r>
    </w:p>
    <w:p>
      <w:pPr>
        <w:sectPr>
          <w:pgSz w:w="11900" w:h="16838" w:orient="portrait"/>
          <w:cols w:equalWidth="0" w:num="1">
            <w:col w:w="11240"/>
          </w:cols>
          <w:pgMar w:left="320" w:top="738"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EXPLANATORY NOTE</w:t>
      </w:r>
    </w:p>
    <w:p>
      <w:pPr>
        <w:spacing w:after="0" w:line="2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This Registration Statement on Form S-8 (the “Registration Statement”) is filed by Lifecore Biomedical, Inc. (the “Company” or “Registrant”) for the purpose of registering an additional 750,000 shares of the Company’s common stock, par value $0.001 per share (the “Common Stock”) that may be issued pursuant to awards under the Company’s Equity Inducement Plan, effective March 20, 2024, as amended by a First Amendment effective April 11, 2025 (the “Plan”).</w:t>
      </w:r>
    </w:p>
    <w:p>
      <w:pPr>
        <w:spacing w:after="0" w:line="14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In accordance with General Instruction E to Form S-8, the Company incorporates herein by reference the Form S-8 filed by the Company on October 10, 2024, registering 3,475,000 shares of Common Stock reserved under the Plan (SEC File No. 333-282585), together with all exhibits filed therewith or incorporated therein by reference.</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INFORMATION REQUIRED IN THE SECTION 10(a) PROSPECTUS</w:t>
      </w:r>
    </w:p>
    <w:p>
      <w:pPr>
        <w:spacing w:after="0" w:line="193"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information called for in Part I of Form S-8 is not being filed with or included in this Registration Statement (by incorporation by reference or otherwise) in accordance with the rules and regulations of the Securities and Exchange Commission (the “Commission”).</w:t>
      </w:r>
    </w:p>
    <w:p>
      <w:pPr>
        <w:spacing w:after="0" w:line="15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175"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0"/>
          <w:szCs w:val="20"/>
          <w:b w:val="1"/>
          <w:bCs w:val="1"/>
          <w:color w:val="auto"/>
        </w:rPr>
        <w:t>INFORMATION REQUIRED IN THE REGISTRATION STATEMENT</w:t>
      </w:r>
    </w:p>
    <w:p>
      <w:pPr>
        <w:spacing w:after="0" w:line="18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19"/>
          <w:szCs w:val="19"/>
          <w:b w:val="1"/>
          <w:bCs w:val="1"/>
          <w:color w:val="auto"/>
        </w:rPr>
        <w:t>Incorporation of Documents by Reference.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documents filed by the Registrant with the Commission are hereby incorporated by reference:</w:t>
      </w:r>
    </w:p>
    <w:p>
      <w:pPr>
        <w:spacing w:after="0" w:line="189" w:lineRule="exact"/>
        <w:rPr>
          <w:sz w:val="20"/>
          <w:szCs w:val="20"/>
          <w:color w:val="auto"/>
        </w:rPr>
      </w:pPr>
    </w:p>
    <w:p>
      <w:pPr>
        <w:ind w:left="640" w:hanging="308"/>
        <w:spacing w:after="0"/>
        <w:tabs>
          <w:tab w:leader="none" w:pos="6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Registrant’s Annual Report on Form 10-K for the year ended May 25, 2025, filed on </w:t>
      </w:r>
      <w:hyperlink r:id="rId9">
        <w:r>
          <w:rPr>
            <w:rFonts w:ascii="Times New Roman" w:cs="Times New Roman" w:eastAsia="Times New Roman" w:hAnsi="Times New Roman"/>
            <w:sz w:val="20"/>
            <w:szCs w:val="20"/>
            <w:u w:val="single" w:color="auto"/>
            <w:color w:val="0000FF"/>
          </w:rPr>
          <w:t>August 7, 2025</w:t>
        </w:r>
      </w:hyperlink>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Registrant’s Current Reports on Form 8-K filed (but not furnished) on </w:t>
      </w:r>
      <w:hyperlink r:id="rId10">
        <w:r>
          <w:rPr>
            <w:rFonts w:ascii="Times New Roman" w:cs="Times New Roman" w:eastAsia="Times New Roman" w:hAnsi="Times New Roman"/>
            <w:sz w:val="20"/>
            <w:szCs w:val="20"/>
            <w:u w:val="single" w:color="auto"/>
            <w:color w:val="0000FF"/>
          </w:rPr>
          <w:t>July 18, 2025</w:t>
        </w:r>
      </w:hyperlink>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660" w:hanging="328"/>
        <w:spacing w:after="0" w:line="258" w:lineRule="auto"/>
        <w:tabs>
          <w:tab w:leader="none" w:pos="65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Registration Statement on Form 8-A filed with the Commission on December 21, 1995 (File No. 000-27446) relating to the Common Stock, as updated by “Description of Capital Stock” filed as Exhibit 4.1 to the Registrant’s Annual Report on Form 10-K for the year ended May 25, 2025, filed on August 7, 2025 (File No. 000-27446), and any amendment or report filed for the purpose of updating such description.</w:t>
      </w:r>
    </w:p>
    <w:p>
      <w:pPr>
        <w:spacing w:after="0" w:line="186" w:lineRule="exact"/>
        <w:rPr>
          <w:rFonts w:ascii="Times New Roman" w:cs="Times New Roman" w:eastAsia="Times New Roman" w:hAnsi="Times New Roman"/>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All documents subsequently filed (but not furnished) by the Registrant pursuant to Sections 13(a), 13(c), 14 and 15(d) of the Exchange Act prior to the completion or termination of this offering of securities will be deemed to be incorporated by reference in this Registration Statement and to be a part hereof from the date of filing of these documents.</w:t>
      </w:r>
    </w:p>
    <w:p>
      <w:pPr>
        <w:spacing w:after="0" w:line="181" w:lineRule="exact"/>
        <w:rPr>
          <w:rFonts w:ascii="Times New Roman" w:cs="Times New Roman" w:eastAsia="Times New Roman" w:hAnsi="Times New Roman"/>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Any statement contained in this Registration Statement, in an amendment hereto or in a document incorporated or deemed to be incorporated by reference herein shall be deemed to be modified or superseded for purposes of this Registration Statement to the extent that a statement contained herein or in any subsequently filed amendment to this Registration Statement or in any document that also is or is deemed to be incorporated by reference herein modifies or supersedes such statement. Any such statement so modified or superseded shall not be deemed, except as so modified or superseded, to constitute a part of this Registration Statement, except as to such specific section of such statements as set forth therein.</w:t>
      </w:r>
    </w:p>
    <w:p>
      <w:pPr>
        <w:spacing w:after="0" w:line="179" w:lineRule="exact"/>
        <w:rPr>
          <w:rFonts w:ascii="Times New Roman" w:cs="Times New Roman" w:eastAsia="Times New Roman" w:hAnsi="Times New Roman"/>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Under no circumstances shall any information furnished under Item 2.02 and/or Item 7.01 of Current Report on Form 8-K and any corresponding exhibits thereto be deemed incorporated herein by reference unless such Current Report on Form 8-K expressly provides to the contrary.</w:t>
      </w:r>
    </w:p>
    <w:p>
      <w:pPr>
        <w:sectPr>
          <w:pgSz w:w="11900" w:h="16838" w:orient="portrait"/>
          <w:cols w:equalWidth="0" w:num="1">
            <w:col w:w="11240"/>
          </w:cols>
          <w:pgMar w:left="320" w:top="639" w:right="339" w:bottom="1440" w:gutter="0" w:footer="0" w:header="0"/>
        </w:sectPr>
      </w:pPr>
    </w:p>
    <w:bookmarkStart w:id="2" w:name="page3"/>
    <w:bookmarkEnd w:id="2"/>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Description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Interests of Named Experts and Counsel.</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Indemnification of Directors and Officers.</w:t>
      </w:r>
    </w:p>
    <w:p>
      <w:pPr>
        <w:spacing w:after="0" w:line="20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The Registrant is a Delaware corporation. Reference is made to Section 102(b)(7) of the General Corporation Law of the State of Delaware (the “DGCL”), which permits a corporation to eliminate or limit the personal liability of a director for violations of the director’s fiduciary duty through its certificate of incorporation, except:</w:t>
      </w:r>
    </w:p>
    <w:p>
      <w:pPr>
        <w:spacing w:after="0" w:line="181" w:lineRule="exact"/>
        <w:rPr>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breach of the director’s duty of loyalty to the corporation or its stockholders;</w:t>
      </w:r>
    </w:p>
    <w:p>
      <w:pPr>
        <w:spacing w:after="0" w:line="21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acts or omissions not in good faith or which involve intentional misconduct or a knowing violation of law;</w:t>
      </w:r>
    </w:p>
    <w:p>
      <w:pPr>
        <w:spacing w:after="0" w:line="229"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Section 174 of the DGCL (providing for liability of directors for unlawful payment of dividends or unlawful stock purchases or redemptions); or</w:t>
      </w:r>
    </w:p>
    <w:p>
      <w:pPr>
        <w:spacing w:after="0" w:line="17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transaction from which a director derived an improper personal benefit.</w:t>
      </w:r>
    </w:p>
    <w:p>
      <w:pPr>
        <w:spacing w:after="0" w:line="22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Reference is also made to Section 145 of the DGCL, which provides that a corporation may indemnify any persons, including officers and directors, who are, or are threatened to be made, parties to any threatened, pending or completed legal action, suit or proceeding, whether civil, criminal, administrative or investigative (other than an action by or in the right of such corporation), by reason of the fact that such person is or was a director, officer,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director, officer, employee or agent acted in good faith and in a manner the person reasonably believed to be in or not opposed to the best interests of the corporation and, with respect to any criminal action or proceeding, had no reasonable cause to believe that the person’s conduct was unlawful. A Delaware corporation may indemnify officers and directors in an action by or in the right of the corporation under the same conditions, except that no indemnification is permitted without judicial approval if the officer or director is adjudged to be liable to the corporation. Where an officer or director is successful on the merits or otherwise in the defense of any action referred to above, the corporation must indemnify him or her against the expenses that such officer or director actually and reasonably incurred. The indemnification permitted under the DGCL is not exclusive, and a corporation is empowered to purchase and maintain insurance against liabilities whether or not indemnification would be permitted by statute.</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Registrant’s Certificate of Incorporation provides that, to the fullest extent permitted by the DGCL, as the same may be amended from time to time, a director of the Registrant will not be personally liable to the Registrant or its stockholders for monetary damages for breach of fiduciary duty as a director.</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Registrant’s Certificate of Incorporation further provides that, to the fullest extent permitted by applicable law, the Registrant is authorized to provide indemnification of and advancement of expenses to such agents (and any other persons to which Delaware law permits the Registrant to provide indemnification) through Bylaw provisions, agreements with such agents or other persons, vote of stockholders or disinterested directors or otherwise, in excess of the indemnification and advancement otherwise permitted by Section 145 of the DGCL of Delaware, subject only to limits created by applicable Delaware law (statutory or non-statutory), with respect to actions for breach of duty to a corporation, its stockholders, and others.</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Registrant’s bylaws provide that the Registrant will, to the maximum extent and in the manner permitted by the DGCL, indemnify each of its directors and officers against expenses (including attorneys’ fees), judgments, fines, settlements and other amounts actually and reasonably incurred in connection with any proceeding, arising by reason of the fact that such person is or was an agent of the Registrant.</w:t>
      </w:r>
    </w:p>
    <w:p>
      <w:pPr>
        <w:sectPr>
          <w:pgSz w:w="11900" w:h="16838" w:orient="portrait"/>
          <w:cols w:equalWidth="0" w:num="1">
            <w:col w:w="11240"/>
          </w:cols>
          <w:pgMar w:left="320" w:top="639" w:right="339" w:bottom="1440" w:gutter="0" w:footer="0" w:header="0"/>
        </w:sectPr>
      </w:pPr>
    </w:p>
    <w:bookmarkStart w:id="3" w:name="page4"/>
    <w:bookmarkEnd w:id="3"/>
    <w:p>
      <w:pPr>
        <w:jc w:val="both"/>
        <w:spacing w:after="0" w:line="268" w:lineRule="auto"/>
        <w:rPr>
          <w:sz w:val="20"/>
          <w:szCs w:val="20"/>
          <w:color w:val="auto"/>
        </w:rPr>
      </w:pPr>
      <w:r>
        <w:rPr>
          <w:rFonts w:ascii="Times New Roman" w:cs="Times New Roman" w:eastAsia="Times New Roman" w:hAnsi="Times New Roman"/>
          <w:sz w:val="20"/>
          <w:szCs w:val="20"/>
          <w:color w:val="auto"/>
        </w:rPr>
        <w:t>The Registrant’s bylaws additionally provide that expenses incurred in defending any action or proceeding for which indemnification is required pursuant to the Registrant’s bylaws will be paid by the Registrant in advance of the final disposition of such action or proceeding upon receipt of an undertaking.</w:t>
      </w:r>
    </w:p>
    <w:p>
      <w:pPr>
        <w:spacing w:after="0" w:line="1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Registrant has also entered into agreements with its directors and officers that will require the Registrant, among other things, to indemnify them against certain liabilities that may arise by reason of their status or service as directors and officers to the fullest extent permitted by Delaware law. The Registrant also maintains directors’ and officers’ liability insurance which covers certain liabilities of its directors and officers arising out of claims based on acts or omissions in their capacities as directors or officers.</w:t>
      </w:r>
    </w:p>
    <w:p>
      <w:pPr>
        <w:spacing w:after="0" w:line="16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19"/>
          <w:szCs w:val="19"/>
          <w:b w:val="1"/>
          <w:bCs w:val="1"/>
          <w:color w:val="auto"/>
        </w:rPr>
        <w:t>Exemption from Registration Claimed.</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ectPr>
          <w:pgSz w:w="11900" w:h="16838" w:orient="portrait"/>
          <w:cols w:equalWidth="0" w:num="1">
            <w:col w:w="11240"/>
          </w:cols>
          <w:pgMar w:left="320" w:top="616"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62"/>
        </w:trPr>
        <w:tc>
          <w:tcPr>
            <w:tcW w:w="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8.</w:t>
            </w:r>
          </w:p>
        </w:tc>
        <w:tc>
          <w:tcPr>
            <w:tcW w:w="604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Exhibits.</w:t>
            </w:r>
          </w:p>
        </w:tc>
        <w:tc>
          <w:tcPr>
            <w:tcW w:w="0" w:type="dxa"/>
            <w:vAlign w:val="bottom"/>
          </w:tcPr>
          <w:p>
            <w:pPr>
              <w:spacing w:after="0"/>
              <w:rPr>
                <w:sz w:val="1"/>
                <w:szCs w:val="1"/>
                <w:color w:val="auto"/>
              </w:rPr>
            </w:pPr>
          </w:p>
        </w:tc>
      </w:tr>
      <w:tr>
        <w:trPr>
          <w:trHeight w:val="390"/>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040" w:type="dxa"/>
            <w:vAlign w:val="bottom"/>
            <w:vMerge w:val="restart"/>
          </w:tcPr>
          <w:p>
            <w:pPr>
              <w:ind w:left="5120"/>
              <w:spacing w:after="0"/>
              <w:rPr>
                <w:sz w:val="20"/>
                <w:szCs w:val="20"/>
                <w:color w:val="auto"/>
              </w:rPr>
            </w:pPr>
            <w:r>
              <w:rPr>
                <w:rFonts w:ascii="Times New Roman" w:cs="Times New Roman" w:eastAsia="Times New Roman" w:hAnsi="Times New Roman"/>
                <w:sz w:val="18"/>
                <w:szCs w:val="18"/>
                <w:b w:val="1"/>
                <w:bCs w:val="1"/>
                <w:color w:val="auto"/>
                <w:w w:val="98"/>
              </w:rPr>
              <w:t>Exhibit title</w:t>
            </w:r>
          </w:p>
        </w:tc>
        <w:tc>
          <w:tcPr>
            <w:tcW w:w="0" w:type="dxa"/>
            <w:vAlign w:val="bottom"/>
          </w:tcPr>
          <w:p>
            <w:pPr>
              <w:spacing w:after="0"/>
              <w:rPr>
                <w:sz w:val="1"/>
                <w:szCs w:val="1"/>
                <w:color w:val="auto"/>
              </w:rPr>
            </w:pPr>
          </w:p>
        </w:tc>
      </w:tr>
      <w:tr>
        <w:trPr>
          <w:trHeight w:val="238"/>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6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40"/>
          </w:cols>
          <w:pgMar w:left="320" w:top="1071" w:right="339" w:bottom="0" w:gutter="0" w:footer="0" w:header="0"/>
        </w:sectPr>
      </w:pPr>
    </w:p>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4.1</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4.2</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4.3</w:t>
      </w: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4.4</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4.5</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4.6</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4.7</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4.8</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4.9</w:t>
      </w:r>
    </w:p>
    <w:p>
      <w:pPr>
        <w:spacing w:after="0" w:line="20" w:lineRule="exact"/>
        <w:rPr>
          <w:sz w:val="20"/>
          <w:szCs w:val="20"/>
          <w:color w:val="auto"/>
        </w:rPr>
      </w:pPr>
      <w:r>
        <w:rPr>
          <w:sz w:val="20"/>
          <w:szCs w:val="20"/>
          <w:color w:val="auto"/>
        </w:rPr>
        <w:br w:type="column"/>
      </w:r>
    </w:p>
    <w:p>
      <w:pPr>
        <w:ind w:right="220"/>
        <w:spacing w:after="0"/>
        <w:rPr>
          <w:rFonts w:ascii="Times New Roman" w:cs="Times New Roman" w:eastAsia="Times New Roman" w:hAnsi="Times New Roman"/>
          <w:sz w:val="20"/>
          <w:szCs w:val="20"/>
          <w:u w:val="single" w:color="auto"/>
          <w:color w:val="0000FF"/>
        </w:rPr>
      </w:pPr>
      <w:hyperlink r:id="rId12">
        <w:r>
          <w:rPr>
            <w:rFonts w:ascii="Times New Roman" w:cs="Times New Roman" w:eastAsia="Times New Roman" w:hAnsi="Times New Roman"/>
            <w:sz w:val="20"/>
            <w:szCs w:val="20"/>
            <w:u w:val="single" w:color="auto"/>
            <w:color w:val="0000FF"/>
          </w:rPr>
          <w:t>Certificate of Incorporation of Landec Corporation (n/k/a Lifecore Biomedical, Inc.), incorporated herein by reference</w:t>
        </w:r>
      </w:hyperlink>
      <w:r>
        <w:rPr>
          <w:rFonts w:ascii="Times New Roman" w:cs="Times New Roman" w:eastAsia="Times New Roman" w:hAnsi="Times New Roman"/>
          <w:sz w:val="20"/>
          <w:szCs w:val="20"/>
          <w:u w:val="single" w:color="auto"/>
          <w:color w:val="0000FF"/>
        </w:rPr>
        <w:t xml:space="preserve"> </w:t>
      </w:r>
      <w:hyperlink r:id="rId12">
        <w:r>
          <w:rPr>
            <w:rFonts w:ascii="Times New Roman" w:cs="Times New Roman" w:eastAsia="Times New Roman" w:hAnsi="Times New Roman"/>
            <w:sz w:val="20"/>
            <w:szCs w:val="20"/>
            <w:u w:val="single" w:color="auto"/>
            <w:color w:val="0000FF"/>
          </w:rPr>
          <w:t>to Exhibit 3.1 to the Registrant’s Current Report on Form 8-K filed on November 7, 2008.</w:t>
        </w:r>
      </w:hyperlink>
    </w:p>
    <w:p>
      <w:pPr>
        <w:spacing w:after="0" w:line="1" w:lineRule="exact"/>
        <w:rPr>
          <w:sz w:val="20"/>
          <w:szCs w:val="20"/>
          <w:color w:val="auto"/>
        </w:rPr>
      </w:pPr>
    </w:p>
    <w:p>
      <w:pPr>
        <w:ind w:right="560"/>
        <w:spacing w:after="0" w:line="232" w:lineRule="auto"/>
        <w:rPr>
          <w:rFonts w:ascii="Times New Roman" w:cs="Times New Roman" w:eastAsia="Times New Roman" w:hAnsi="Times New Roman"/>
          <w:sz w:val="20"/>
          <w:szCs w:val="20"/>
          <w:u w:val="single" w:color="auto"/>
          <w:color w:val="0000FF"/>
        </w:rPr>
      </w:pPr>
      <w:hyperlink r:id="rId13">
        <w:r>
          <w:rPr>
            <w:rFonts w:ascii="Times New Roman" w:cs="Times New Roman" w:eastAsia="Times New Roman" w:hAnsi="Times New Roman"/>
            <w:sz w:val="20"/>
            <w:szCs w:val="20"/>
            <w:u w:val="single" w:color="auto"/>
            <w:color w:val="0000FF"/>
          </w:rPr>
          <w:t>Certificate of Amendment to Certificate Incorporation of Landec Corporation, incorporated herein by reference to</w:t>
        </w:r>
      </w:hyperlink>
      <w:r>
        <w:rPr>
          <w:rFonts w:ascii="Times New Roman" w:cs="Times New Roman" w:eastAsia="Times New Roman" w:hAnsi="Times New Roman"/>
          <w:sz w:val="20"/>
          <w:szCs w:val="20"/>
          <w:u w:val="single" w:color="auto"/>
          <w:color w:val="0000FF"/>
        </w:rPr>
        <w:t xml:space="preserve"> </w:t>
      </w:r>
      <w:hyperlink r:id="rId13">
        <w:r>
          <w:rPr>
            <w:rFonts w:ascii="Times New Roman" w:cs="Times New Roman" w:eastAsia="Times New Roman" w:hAnsi="Times New Roman"/>
            <w:sz w:val="20"/>
            <w:szCs w:val="20"/>
            <w:u w:val="single" w:color="auto"/>
            <w:color w:val="0000FF"/>
          </w:rPr>
          <w:t>Exhibit 3.1 to the Registrant’s Current Report on Form 8-K filed on November 16, 2022.</w:t>
        </w:r>
      </w:hyperlink>
    </w:p>
    <w:p>
      <w:pPr>
        <w:spacing w:after="0" w:line="1" w:lineRule="exact"/>
        <w:rPr>
          <w:sz w:val="20"/>
          <w:szCs w:val="20"/>
          <w:color w:val="auto"/>
        </w:rPr>
      </w:pPr>
    </w:p>
    <w:p>
      <w:pPr>
        <w:jc w:val="both"/>
        <w:ind w:right="480"/>
        <w:spacing w:after="0" w:line="225" w:lineRule="auto"/>
        <w:rPr>
          <w:rFonts w:ascii="Times New Roman" w:cs="Times New Roman" w:eastAsia="Times New Roman" w:hAnsi="Times New Roman"/>
          <w:sz w:val="20"/>
          <w:szCs w:val="20"/>
          <w:u w:val="single" w:color="auto"/>
          <w:color w:val="0000FF"/>
        </w:rPr>
      </w:pPr>
      <w:hyperlink r:id="rId14">
        <w:r>
          <w:rPr>
            <w:rFonts w:ascii="Times New Roman" w:cs="Times New Roman" w:eastAsia="Times New Roman" w:hAnsi="Times New Roman"/>
            <w:sz w:val="20"/>
            <w:szCs w:val="20"/>
            <w:u w:val="single" w:color="auto"/>
            <w:color w:val="0000FF"/>
          </w:rPr>
          <w:t>Certificate of Amendment, effective August 15, 2024, to Certificate of Incorporation of Lifecore Biomedical, Inc.,</w:t>
        </w:r>
      </w:hyperlink>
      <w:r>
        <w:rPr>
          <w:rFonts w:ascii="Times New Roman" w:cs="Times New Roman" w:eastAsia="Times New Roman" w:hAnsi="Times New Roman"/>
          <w:sz w:val="20"/>
          <w:szCs w:val="20"/>
          <w:u w:val="single" w:color="auto"/>
          <w:color w:val="0000FF"/>
        </w:rPr>
        <w:t xml:space="preserve"> </w:t>
      </w:r>
      <w:hyperlink r:id="rId14">
        <w:r>
          <w:rPr>
            <w:rFonts w:ascii="Times New Roman" w:cs="Times New Roman" w:eastAsia="Times New Roman" w:hAnsi="Times New Roman"/>
            <w:sz w:val="20"/>
            <w:szCs w:val="20"/>
            <w:u w:val="single" w:color="auto"/>
            <w:color w:val="0000FF"/>
          </w:rPr>
          <w:t>incorporated herein by reference to Exhibit 3.1 to the Registrant’s Current Report on Form 8-K filed on August 21,</w:t>
        </w:r>
      </w:hyperlink>
      <w:r>
        <w:rPr>
          <w:rFonts w:ascii="Times New Roman" w:cs="Times New Roman" w:eastAsia="Times New Roman" w:hAnsi="Times New Roman"/>
          <w:sz w:val="20"/>
          <w:szCs w:val="20"/>
          <w:u w:val="single" w:color="auto"/>
          <w:color w:val="0000FF"/>
        </w:rPr>
        <w:t xml:space="preserve"> </w:t>
      </w:r>
      <w:hyperlink r:id="rId14">
        <w:r>
          <w:rPr>
            <w:rFonts w:ascii="Times New Roman" w:cs="Times New Roman" w:eastAsia="Times New Roman" w:hAnsi="Times New Roman"/>
            <w:sz w:val="20"/>
            <w:szCs w:val="20"/>
            <w:u w:val="single" w:color="auto"/>
            <w:color w:val="0000FF"/>
          </w:rPr>
          <w:t>2024.</w:t>
        </w:r>
      </w:hyperlink>
    </w:p>
    <w:p>
      <w:pPr>
        <w:spacing w:after="0" w:line="1" w:lineRule="exact"/>
        <w:rPr>
          <w:rFonts w:ascii="Times New Roman" w:cs="Times New Roman" w:eastAsia="Times New Roman" w:hAnsi="Times New Roman"/>
          <w:sz w:val="20"/>
          <w:szCs w:val="20"/>
          <w:u w:val="single" w:color="auto"/>
          <w:color w:val="0000FF"/>
        </w:rPr>
      </w:pPr>
    </w:p>
    <w:p>
      <w:pPr>
        <w:ind w:right="120"/>
        <w:spacing w:after="0" w:line="232" w:lineRule="auto"/>
        <w:rPr>
          <w:rFonts w:ascii="Times New Roman" w:cs="Times New Roman" w:eastAsia="Times New Roman" w:hAnsi="Times New Roman"/>
          <w:sz w:val="20"/>
          <w:szCs w:val="20"/>
          <w:u w:val="single" w:color="auto"/>
          <w:color w:val="0000FF"/>
        </w:rPr>
      </w:pPr>
      <w:hyperlink r:id="rId15">
        <w:r>
          <w:rPr>
            <w:rFonts w:ascii="Times New Roman" w:cs="Times New Roman" w:eastAsia="Times New Roman" w:hAnsi="Times New Roman"/>
            <w:sz w:val="20"/>
            <w:szCs w:val="20"/>
            <w:u w:val="single" w:color="auto"/>
            <w:color w:val="0000FF"/>
          </w:rPr>
          <w:t>Amended and Restated By-Laws of Landec Corporation, as amended through October 11, 2012, incorporated herein by</w:t>
        </w:r>
      </w:hyperlink>
      <w:r>
        <w:rPr>
          <w:rFonts w:ascii="Times New Roman" w:cs="Times New Roman" w:eastAsia="Times New Roman" w:hAnsi="Times New Roman"/>
          <w:sz w:val="20"/>
          <w:szCs w:val="20"/>
          <w:u w:val="single" w:color="auto"/>
          <w:color w:val="0000FF"/>
        </w:rPr>
        <w:t xml:space="preserve"> </w:t>
      </w:r>
      <w:hyperlink r:id="rId15">
        <w:r>
          <w:rPr>
            <w:rFonts w:ascii="Times New Roman" w:cs="Times New Roman" w:eastAsia="Times New Roman" w:hAnsi="Times New Roman"/>
            <w:sz w:val="20"/>
            <w:szCs w:val="20"/>
            <w:u w:val="single" w:color="auto"/>
            <w:color w:val="0000FF"/>
          </w:rPr>
          <w:t>reference to Exhibit 3.1 to the Registrant’s Current Report on Form 8-K filed on October 16, 2012.</w:t>
        </w:r>
      </w:hyperlink>
    </w:p>
    <w:p>
      <w:pPr>
        <w:spacing w:after="0" w:line="1" w:lineRule="exact"/>
        <w:rPr>
          <w:sz w:val="20"/>
          <w:szCs w:val="20"/>
          <w:color w:val="auto"/>
        </w:rPr>
      </w:pPr>
    </w:p>
    <w:p>
      <w:pPr>
        <w:ind w:right="560"/>
        <w:spacing w:after="0" w:line="232" w:lineRule="auto"/>
        <w:rPr>
          <w:rFonts w:ascii="Times New Roman" w:cs="Times New Roman" w:eastAsia="Times New Roman" w:hAnsi="Times New Roman"/>
          <w:sz w:val="20"/>
          <w:szCs w:val="20"/>
          <w:u w:val="single" w:color="auto"/>
          <w:color w:val="0000FF"/>
        </w:rPr>
      </w:pPr>
      <w:hyperlink r:id="rId16">
        <w:r>
          <w:rPr>
            <w:rFonts w:ascii="Times New Roman" w:cs="Times New Roman" w:eastAsia="Times New Roman" w:hAnsi="Times New Roman"/>
            <w:sz w:val="20"/>
            <w:szCs w:val="20"/>
            <w:u w:val="single" w:color="auto"/>
            <w:color w:val="0000FF"/>
          </w:rPr>
          <w:t>Amendment No. 1 to By-Laws of Landec Corporation, effective May 6, 2019, incorporated herein by reference to</w:t>
        </w:r>
      </w:hyperlink>
      <w:r>
        <w:rPr>
          <w:rFonts w:ascii="Times New Roman" w:cs="Times New Roman" w:eastAsia="Times New Roman" w:hAnsi="Times New Roman"/>
          <w:sz w:val="20"/>
          <w:szCs w:val="20"/>
          <w:u w:val="single" w:color="auto"/>
          <w:color w:val="0000FF"/>
        </w:rPr>
        <w:t xml:space="preserve"> </w:t>
      </w:r>
      <w:hyperlink r:id="rId16">
        <w:r>
          <w:rPr>
            <w:rFonts w:ascii="Times New Roman" w:cs="Times New Roman" w:eastAsia="Times New Roman" w:hAnsi="Times New Roman"/>
            <w:sz w:val="20"/>
            <w:szCs w:val="20"/>
            <w:u w:val="single" w:color="auto"/>
            <w:color w:val="0000FF"/>
          </w:rPr>
          <w:t>Exhibit 3.1 to the Registrant’s Current Report on Form 8-K filed on May 7, 2019.</w:t>
        </w:r>
      </w:hyperlink>
    </w:p>
    <w:p>
      <w:pPr>
        <w:spacing w:after="0" w:line="1" w:lineRule="exact"/>
        <w:rPr>
          <w:sz w:val="20"/>
          <w:szCs w:val="20"/>
          <w:color w:val="auto"/>
        </w:rPr>
      </w:pPr>
    </w:p>
    <w:p>
      <w:pPr>
        <w:ind w:right="480"/>
        <w:spacing w:after="0" w:line="232" w:lineRule="auto"/>
        <w:rPr>
          <w:rFonts w:ascii="Times New Roman" w:cs="Times New Roman" w:eastAsia="Times New Roman" w:hAnsi="Times New Roman"/>
          <w:sz w:val="20"/>
          <w:szCs w:val="20"/>
          <w:u w:val="single" w:color="auto"/>
          <w:color w:val="0000FF"/>
        </w:rPr>
      </w:pPr>
      <w:hyperlink r:id="rId17">
        <w:r>
          <w:rPr>
            <w:rFonts w:ascii="Times New Roman" w:cs="Times New Roman" w:eastAsia="Times New Roman" w:hAnsi="Times New Roman"/>
            <w:sz w:val="20"/>
            <w:szCs w:val="20"/>
            <w:u w:val="single" w:color="auto"/>
            <w:color w:val="0000FF"/>
          </w:rPr>
          <w:t>Amendment No. 2 to By-Laws of May 23, 2019, incorporated herein by reference to Exhibit 3.1 to the Registrant’s</w:t>
        </w:r>
      </w:hyperlink>
      <w:r>
        <w:rPr>
          <w:rFonts w:ascii="Times New Roman" w:cs="Times New Roman" w:eastAsia="Times New Roman" w:hAnsi="Times New Roman"/>
          <w:sz w:val="20"/>
          <w:szCs w:val="20"/>
          <w:u w:val="single" w:color="auto"/>
          <w:color w:val="0000FF"/>
        </w:rPr>
        <w:t xml:space="preserve"> </w:t>
      </w:r>
      <w:hyperlink r:id="rId17">
        <w:r>
          <w:rPr>
            <w:rFonts w:ascii="Times New Roman" w:cs="Times New Roman" w:eastAsia="Times New Roman" w:hAnsi="Times New Roman"/>
            <w:sz w:val="20"/>
            <w:szCs w:val="20"/>
            <w:u w:val="single" w:color="auto"/>
            <w:color w:val="0000FF"/>
          </w:rPr>
          <w:t>Current Report on Form 8-K filed on May 24, 2019.</w:t>
        </w:r>
      </w:hyperlink>
    </w:p>
    <w:p>
      <w:pPr>
        <w:spacing w:after="0" w:line="1" w:lineRule="exact"/>
        <w:rPr>
          <w:sz w:val="20"/>
          <w:szCs w:val="20"/>
          <w:color w:val="auto"/>
        </w:rPr>
      </w:pPr>
    </w:p>
    <w:p>
      <w:pPr>
        <w:ind w:right="180"/>
        <w:spacing w:after="0" w:line="232" w:lineRule="auto"/>
        <w:rPr>
          <w:rFonts w:ascii="Times New Roman" w:cs="Times New Roman" w:eastAsia="Times New Roman" w:hAnsi="Times New Roman"/>
          <w:sz w:val="20"/>
          <w:szCs w:val="20"/>
          <w:u w:val="single" w:color="auto"/>
          <w:color w:val="0000FF"/>
        </w:rPr>
      </w:pPr>
      <w:hyperlink r:id="rId18">
        <w:r>
          <w:rPr>
            <w:rFonts w:ascii="Times New Roman" w:cs="Times New Roman" w:eastAsia="Times New Roman" w:hAnsi="Times New Roman"/>
            <w:sz w:val="20"/>
            <w:szCs w:val="20"/>
            <w:u w:val="single" w:color="auto"/>
            <w:color w:val="0000FF"/>
          </w:rPr>
          <w:t>Amendment No. 3 to By-Laws of Landec Corporation, effective October 14, 2020, incorporated herein by reference to</w:t>
        </w:r>
      </w:hyperlink>
      <w:r>
        <w:rPr>
          <w:rFonts w:ascii="Times New Roman" w:cs="Times New Roman" w:eastAsia="Times New Roman" w:hAnsi="Times New Roman"/>
          <w:sz w:val="20"/>
          <w:szCs w:val="20"/>
          <w:u w:val="single" w:color="auto"/>
          <w:color w:val="0000FF"/>
        </w:rPr>
        <w:t xml:space="preserve"> </w:t>
      </w:r>
      <w:hyperlink r:id="rId18">
        <w:r>
          <w:rPr>
            <w:rFonts w:ascii="Times New Roman" w:cs="Times New Roman" w:eastAsia="Times New Roman" w:hAnsi="Times New Roman"/>
            <w:sz w:val="20"/>
            <w:szCs w:val="20"/>
            <w:u w:val="single" w:color="auto"/>
            <w:color w:val="0000FF"/>
          </w:rPr>
          <w:t>Exhibit 3.1 to the Registrant’s Current Report on Form 8-K filed on October 19, 2020.</w:t>
        </w:r>
      </w:hyperlink>
    </w:p>
    <w:p>
      <w:pPr>
        <w:spacing w:after="0" w:line="1" w:lineRule="exact"/>
        <w:rPr>
          <w:sz w:val="20"/>
          <w:szCs w:val="20"/>
          <w:color w:val="auto"/>
        </w:rPr>
      </w:pPr>
    </w:p>
    <w:p>
      <w:pPr>
        <w:ind w:right="200"/>
        <w:spacing w:after="0" w:line="232" w:lineRule="auto"/>
        <w:rPr>
          <w:rFonts w:ascii="Times New Roman" w:cs="Times New Roman" w:eastAsia="Times New Roman" w:hAnsi="Times New Roman"/>
          <w:sz w:val="20"/>
          <w:szCs w:val="20"/>
          <w:u w:val="single" w:color="auto"/>
          <w:color w:val="0000FF"/>
        </w:rPr>
      </w:pPr>
      <w:hyperlink r:id="rId19">
        <w:r>
          <w:rPr>
            <w:rFonts w:ascii="Times New Roman" w:cs="Times New Roman" w:eastAsia="Times New Roman" w:hAnsi="Times New Roman"/>
            <w:sz w:val="20"/>
            <w:szCs w:val="20"/>
            <w:u w:val="single" w:color="auto"/>
            <w:color w:val="0000FF"/>
          </w:rPr>
          <w:t>Amendment No. 4 to By-Laws of Landec Corporation, effective November 14, 2020, incorporated herein by reference</w:t>
        </w:r>
      </w:hyperlink>
      <w:r>
        <w:rPr>
          <w:rFonts w:ascii="Times New Roman" w:cs="Times New Roman" w:eastAsia="Times New Roman" w:hAnsi="Times New Roman"/>
          <w:sz w:val="20"/>
          <w:szCs w:val="20"/>
          <w:u w:val="single" w:color="auto"/>
          <w:color w:val="0000FF"/>
        </w:rPr>
        <w:t xml:space="preserve"> </w:t>
      </w:r>
      <w:hyperlink r:id="rId19">
        <w:r>
          <w:rPr>
            <w:rFonts w:ascii="Times New Roman" w:cs="Times New Roman" w:eastAsia="Times New Roman" w:hAnsi="Times New Roman"/>
            <w:sz w:val="20"/>
            <w:szCs w:val="20"/>
            <w:u w:val="single" w:color="auto"/>
            <w:color w:val="0000FF"/>
          </w:rPr>
          <w:t>to Exhibit 3.2 to the Registrant’s Current Report on Form 8-K filed on November 16, 2022.</w:t>
        </w:r>
      </w:hyperlink>
    </w:p>
    <w:p>
      <w:pPr>
        <w:spacing w:after="0" w:line="1" w:lineRule="exact"/>
        <w:rPr>
          <w:sz w:val="20"/>
          <w:szCs w:val="20"/>
          <w:color w:val="auto"/>
        </w:rPr>
      </w:pPr>
    </w:p>
    <w:p>
      <w:pPr>
        <w:jc w:val="both"/>
        <w:ind w:right="380"/>
        <w:spacing w:after="0" w:line="225" w:lineRule="auto"/>
        <w:rPr>
          <w:rFonts w:ascii="Times New Roman" w:cs="Times New Roman" w:eastAsia="Times New Roman" w:hAnsi="Times New Roman"/>
          <w:sz w:val="20"/>
          <w:szCs w:val="20"/>
          <w:u w:val="single" w:color="auto"/>
          <w:color w:val="0000FF"/>
        </w:rPr>
      </w:pPr>
      <w:hyperlink r:id="rId20">
        <w:r>
          <w:rPr>
            <w:rFonts w:ascii="Times New Roman" w:cs="Times New Roman" w:eastAsia="Times New Roman" w:hAnsi="Times New Roman"/>
            <w:sz w:val="20"/>
            <w:szCs w:val="20"/>
            <w:u w:val="single" w:color="auto"/>
            <w:color w:val="0000FF"/>
          </w:rPr>
          <w:t>Certificate of Designations, Preferences and Rights of Series A Convertible Preferred Stock of Lifecore Biomedical,</w:t>
        </w:r>
      </w:hyperlink>
      <w:r>
        <w:rPr>
          <w:rFonts w:ascii="Times New Roman" w:cs="Times New Roman" w:eastAsia="Times New Roman" w:hAnsi="Times New Roman"/>
          <w:sz w:val="20"/>
          <w:szCs w:val="20"/>
          <w:u w:val="single" w:color="auto"/>
          <w:color w:val="0000FF"/>
        </w:rPr>
        <w:t xml:space="preserve"> </w:t>
      </w:r>
      <w:hyperlink r:id="rId20">
        <w:r>
          <w:rPr>
            <w:rFonts w:ascii="Times New Roman" w:cs="Times New Roman" w:eastAsia="Times New Roman" w:hAnsi="Times New Roman"/>
            <w:sz w:val="20"/>
            <w:szCs w:val="20"/>
            <w:u w:val="single" w:color="auto"/>
            <w:color w:val="0000FF"/>
          </w:rPr>
          <w:t>Inc., effective January 9, 2023, incorporated herein by reference to Exhibit 3.1 to the Registrant’s Current Report on</w:t>
        </w:r>
      </w:hyperlink>
      <w:r>
        <w:rPr>
          <w:rFonts w:ascii="Times New Roman" w:cs="Times New Roman" w:eastAsia="Times New Roman" w:hAnsi="Times New Roman"/>
          <w:sz w:val="20"/>
          <w:szCs w:val="20"/>
          <w:u w:val="single" w:color="auto"/>
          <w:color w:val="0000FF"/>
        </w:rPr>
        <w:t xml:space="preserve"> </w:t>
      </w:r>
      <w:hyperlink r:id="rId20">
        <w:r>
          <w:rPr>
            <w:rFonts w:ascii="Times New Roman" w:cs="Times New Roman" w:eastAsia="Times New Roman" w:hAnsi="Times New Roman"/>
            <w:sz w:val="20"/>
            <w:szCs w:val="20"/>
            <w:u w:val="single" w:color="auto"/>
            <w:color w:val="0000FF"/>
          </w:rPr>
          <w:t>Form 8-K filed on January 10, 2023.</w:t>
        </w:r>
      </w:hyperlink>
    </w:p>
    <w:p>
      <w:pPr>
        <w:spacing w:after="0" w:line="53" w:lineRule="exact"/>
        <w:rPr>
          <w:rFonts w:ascii="Times New Roman" w:cs="Times New Roman" w:eastAsia="Times New Roman" w:hAnsi="Times New Roman"/>
          <w:sz w:val="20"/>
          <w:szCs w:val="20"/>
          <w:u w:val="single" w:color="auto"/>
          <w:color w:val="0000FF"/>
        </w:rPr>
      </w:pPr>
    </w:p>
    <w:p>
      <w:pPr>
        <w:sectPr>
          <w:pgSz w:w="11900" w:h="16838" w:orient="portrait"/>
          <w:cols w:equalWidth="0" w:num="2">
            <w:col w:w="940" w:space="720"/>
            <w:col w:w="9580"/>
          </w:cols>
          <w:pgMar w:left="320" w:top="1071" w:right="339" w:bottom="0" w:gutter="0" w:footer="0" w:header="0"/>
          <w:type w:val="continuous"/>
        </w:sectPr>
      </w:pPr>
    </w:p>
    <w:p>
      <w:pPr>
        <w:ind w:left="20"/>
        <w:spacing w:after="0"/>
        <w:rPr>
          <w:sz w:val="20"/>
          <w:szCs w:val="20"/>
          <w:color w:val="auto"/>
        </w:rPr>
      </w:pPr>
      <w:r>
        <w:rPr>
          <w:rFonts w:ascii="Times New Roman" w:cs="Times New Roman" w:eastAsia="Times New Roman" w:hAnsi="Times New Roman"/>
          <w:sz w:val="20"/>
          <w:szCs w:val="20"/>
          <w:color w:val="auto"/>
        </w:rPr>
        <w:t>5.1*</w:t>
      </w:r>
    </w:p>
    <w:p>
      <w:pPr>
        <w:spacing w:after="0" w:line="175" w:lineRule="exact"/>
        <w:rPr>
          <w:rFonts w:ascii="Times New Roman" w:cs="Times New Roman" w:eastAsia="Times New Roman" w:hAnsi="Times New Roman"/>
          <w:sz w:val="20"/>
          <w:szCs w:val="20"/>
          <w:u w:val="single" w:color="auto"/>
          <w:color w:val="0000FF"/>
        </w:rPr>
      </w:pPr>
    </w:p>
    <w:p>
      <w:pPr>
        <w:ind w:left="20"/>
        <w:spacing w:after="0"/>
        <w:rPr>
          <w:sz w:val="20"/>
          <w:szCs w:val="20"/>
          <w:color w:val="auto"/>
        </w:rPr>
      </w:pPr>
      <w:r>
        <w:rPr>
          <w:rFonts w:ascii="Times New Roman" w:cs="Times New Roman" w:eastAsia="Times New Roman" w:hAnsi="Times New Roman"/>
          <w:sz w:val="19"/>
          <w:szCs w:val="19"/>
          <w:color w:val="auto"/>
        </w:rPr>
        <w:t>10.1+</w:t>
      </w:r>
    </w:p>
    <w:p>
      <w:pPr>
        <w:spacing w:after="0" w:line="227" w:lineRule="exact"/>
        <w:rPr>
          <w:rFonts w:ascii="Times New Roman" w:cs="Times New Roman" w:eastAsia="Times New Roman" w:hAnsi="Times New Roman"/>
          <w:sz w:val="20"/>
          <w:szCs w:val="20"/>
          <w:u w:val="single" w:color="auto"/>
          <w:color w:val="0000FF"/>
        </w:rPr>
      </w:pPr>
    </w:p>
    <w:p>
      <w:pPr>
        <w:ind w:left="20"/>
        <w:spacing w:after="0"/>
        <w:rPr>
          <w:sz w:val="20"/>
          <w:szCs w:val="20"/>
          <w:color w:val="auto"/>
        </w:rPr>
      </w:pPr>
      <w:r>
        <w:rPr>
          <w:rFonts w:ascii="Times New Roman" w:cs="Times New Roman" w:eastAsia="Times New Roman" w:hAnsi="Times New Roman"/>
          <w:sz w:val="19"/>
          <w:szCs w:val="19"/>
          <w:color w:val="auto"/>
        </w:rPr>
        <w:t>10.2+</w:t>
      </w:r>
    </w:p>
    <w:p>
      <w:pPr>
        <w:spacing w:after="0" w:line="20" w:lineRule="exact"/>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br w:type="column"/>
      </w:r>
    </w:p>
    <w:p>
      <w:pPr>
        <w:spacing w:after="0" w:line="61" w:lineRule="exact"/>
        <w:rPr>
          <w:rFonts w:ascii="Times New Roman" w:cs="Times New Roman" w:eastAsia="Times New Roman" w:hAnsi="Times New Roman"/>
          <w:sz w:val="20"/>
          <w:szCs w:val="20"/>
          <w:u w:val="single" w:color="auto"/>
          <w:color w:val="0000FF"/>
        </w:rPr>
      </w:pPr>
    </w:p>
    <w:p>
      <w:pPr>
        <w:spacing w:after="0"/>
        <w:rPr>
          <w:sz w:val="20"/>
          <w:szCs w:val="20"/>
          <w:color w:val="auto"/>
        </w:rPr>
      </w:pPr>
      <w:r>
        <w:rPr>
          <w:rFonts w:ascii="Times New Roman" w:cs="Times New Roman" w:eastAsia="Times New Roman" w:hAnsi="Times New Roman"/>
          <w:sz w:val="20"/>
          <w:szCs w:val="20"/>
          <w:u w:val="single" w:color="auto"/>
          <w:color w:val="0000FF"/>
        </w:rPr>
        <w:t>Opinion of Ballard Spahr LLP.</w:t>
      </w:r>
    </w:p>
    <w:p>
      <w:pPr>
        <w:spacing w:after="0" w:line="28" w:lineRule="exact"/>
        <w:rPr>
          <w:rFonts w:ascii="Times New Roman" w:cs="Times New Roman" w:eastAsia="Times New Roman" w:hAnsi="Times New Roman"/>
          <w:sz w:val="20"/>
          <w:szCs w:val="20"/>
          <w:u w:val="single" w:color="auto"/>
          <w:color w:val="0000FF"/>
        </w:rPr>
      </w:pPr>
    </w:p>
    <w:p>
      <w:pPr>
        <w:ind w:right="100"/>
        <w:spacing w:after="0" w:line="239" w:lineRule="auto"/>
        <w:rPr>
          <w:rFonts w:ascii="Times New Roman" w:cs="Times New Roman" w:eastAsia="Times New Roman" w:hAnsi="Times New Roman"/>
          <w:sz w:val="20"/>
          <w:szCs w:val="20"/>
          <w:u w:val="single" w:color="auto"/>
          <w:color w:val="0000FF"/>
        </w:rPr>
      </w:pPr>
      <w:hyperlink r:id="rId21">
        <w:r>
          <w:rPr>
            <w:rFonts w:ascii="Times New Roman" w:cs="Times New Roman" w:eastAsia="Times New Roman" w:hAnsi="Times New Roman"/>
            <w:sz w:val="20"/>
            <w:szCs w:val="20"/>
            <w:u w:val="single" w:color="auto"/>
            <w:color w:val="0000FF"/>
          </w:rPr>
          <w:t>Lifecore Biomedical, Inc. Equity Inducement Plan, incorporated by reference to Exhibit 10.2 to the Registrant's Current</w:t>
        </w:r>
      </w:hyperlink>
      <w:r>
        <w:rPr>
          <w:rFonts w:ascii="Times New Roman" w:cs="Times New Roman" w:eastAsia="Times New Roman" w:hAnsi="Times New Roman"/>
          <w:sz w:val="20"/>
          <w:szCs w:val="20"/>
          <w:u w:val="single" w:color="auto"/>
          <w:color w:val="0000FF"/>
        </w:rPr>
        <w:t xml:space="preserve"> </w:t>
      </w:r>
      <w:hyperlink r:id="rId21">
        <w:r>
          <w:rPr>
            <w:rFonts w:ascii="Times New Roman" w:cs="Times New Roman" w:eastAsia="Times New Roman" w:hAnsi="Times New Roman"/>
            <w:sz w:val="20"/>
            <w:szCs w:val="20"/>
            <w:u w:val="single" w:color="auto"/>
            <w:color w:val="0000FF"/>
          </w:rPr>
          <w:t>Report on Form 8-K filed on March 21, 2024.</w:t>
        </w:r>
      </w:hyperlink>
    </w:p>
    <w:p>
      <w:pPr>
        <w:spacing w:after="0" w:line="1" w:lineRule="exact"/>
        <w:rPr>
          <w:sz w:val="20"/>
          <w:szCs w:val="20"/>
          <w:color w:val="auto"/>
        </w:rPr>
      </w:pPr>
    </w:p>
    <w:p>
      <w:pPr>
        <w:ind w:right="700"/>
        <w:spacing w:after="0" w:line="232" w:lineRule="auto"/>
        <w:rPr>
          <w:rFonts w:ascii="Times New Roman" w:cs="Times New Roman" w:eastAsia="Times New Roman" w:hAnsi="Times New Roman"/>
          <w:sz w:val="20"/>
          <w:szCs w:val="20"/>
          <w:u w:val="single" w:color="auto"/>
          <w:color w:val="0000FF"/>
        </w:rPr>
      </w:pPr>
      <w:hyperlink r:id="rId22">
        <w:r>
          <w:rPr>
            <w:rFonts w:ascii="Times New Roman" w:cs="Times New Roman" w:eastAsia="Times New Roman" w:hAnsi="Times New Roman"/>
            <w:sz w:val="20"/>
            <w:szCs w:val="20"/>
            <w:u w:val="single" w:color="auto"/>
            <w:color w:val="0000FF"/>
          </w:rPr>
          <w:t>First Amendment to Lifecore Biomedical, Inc. Equity Inducement Plan effective April 11, 2025 incorporated by</w:t>
        </w:r>
      </w:hyperlink>
      <w:r>
        <w:rPr>
          <w:rFonts w:ascii="Times New Roman" w:cs="Times New Roman" w:eastAsia="Times New Roman" w:hAnsi="Times New Roman"/>
          <w:sz w:val="20"/>
          <w:szCs w:val="20"/>
          <w:u w:val="single" w:color="auto"/>
          <w:color w:val="0000FF"/>
        </w:rPr>
        <w:t xml:space="preserve"> </w:t>
      </w:r>
      <w:hyperlink r:id="rId22">
        <w:r>
          <w:rPr>
            <w:rFonts w:ascii="Times New Roman" w:cs="Times New Roman" w:eastAsia="Times New Roman" w:hAnsi="Times New Roman"/>
            <w:sz w:val="20"/>
            <w:szCs w:val="20"/>
            <w:u w:val="single" w:color="auto"/>
            <w:color w:val="0000FF"/>
          </w:rPr>
          <w:t>reference to Exhibit 10.1 to the Registrant’s Current Report on Form 8-K filed on April 16, 2025.</w:t>
        </w:r>
      </w:hyperlink>
    </w:p>
    <w:p>
      <w:pPr>
        <w:spacing w:after="0" w:line="53" w:lineRule="exact"/>
        <w:rPr>
          <w:sz w:val="20"/>
          <w:szCs w:val="20"/>
          <w:color w:val="auto"/>
        </w:rPr>
      </w:pPr>
    </w:p>
    <w:p>
      <w:pPr>
        <w:sectPr>
          <w:pgSz w:w="11900" w:h="16838" w:orient="portrait"/>
          <w:cols w:equalWidth="0" w:num="2">
            <w:col w:w="940" w:space="720"/>
            <w:col w:w="9580"/>
          </w:cols>
          <w:pgMar w:left="320" w:top="1071" w:right="339" w:bottom="0" w:gutter="0" w:footer="0" w:header="0"/>
          <w:type w:val="continuous"/>
        </w:sectPr>
      </w:pPr>
    </w:p>
    <w:tbl>
      <w:tblPr>
        <w:tblLayout w:type="fixed"/>
        <w:tblInd w:w="20" w:type="dxa"/>
        <w:tblCellMar>
          <w:top w:w="0" w:type="dxa"/>
          <w:left w:w="0" w:type="dxa"/>
          <w:bottom w:w="0" w:type="dxa"/>
          <w:right w:w="0" w:type="dxa"/>
        </w:tblCellMar>
      </w:tblPr>
      <w:tr>
        <w:trPr>
          <w:trHeight w:val="258"/>
        </w:trPr>
        <w:tc>
          <w:tcPr>
            <w:tcW w:w="1040" w:type="dxa"/>
            <w:vAlign w:val="bottom"/>
          </w:tcPr>
          <w:p>
            <w:pPr>
              <w:jc w:val="right"/>
              <w:ind w:right="481"/>
              <w:spacing w:after="0"/>
              <w:rPr>
                <w:sz w:val="20"/>
                <w:szCs w:val="20"/>
                <w:color w:val="auto"/>
              </w:rPr>
            </w:pPr>
            <w:r>
              <w:rPr>
                <w:rFonts w:ascii="Times New Roman" w:cs="Times New Roman" w:eastAsia="Times New Roman" w:hAnsi="Times New Roman"/>
                <w:sz w:val="20"/>
                <w:szCs w:val="20"/>
                <w:color w:val="auto"/>
                <w:w w:val="97"/>
              </w:rPr>
              <w:t>23.1*</w:t>
            </w:r>
          </w:p>
        </w:tc>
        <w:tc>
          <w:tcPr>
            <w:tcW w:w="6780" w:type="dxa"/>
            <w:vAlign w:val="bottom"/>
            <w:vMerge w:val="restart"/>
          </w:tcPr>
          <w:p>
            <w:pPr>
              <w:ind w:left="600"/>
              <w:spacing w:after="0"/>
              <w:rPr>
                <w:sz w:val="20"/>
                <w:szCs w:val="20"/>
                <w:color w:val="auto"/>
              </w:rPr>
            </w:pPr>
            <w:r>
              <w:rPr>
                <w:rFonts w:ascii="Times New Roman" w:cs="Times New Roman" w:eastAsia="Times New Roman" w:hAnsi="Times New Roman"/>
                <w:sz w:val="20"/>
                <w:szCs w:val="20"/>
                <w:u w:val="single" w:color="auto"/>
                <w:color w:val="0000FF"/>
              </w:rPr>
              <w:t>Consent of Ballard Spahr LLP (included in Exhibit 5.1).</w:t>
            </w:r>
          </w:p>
        </w:tc>
        <w:tc>
          <w:tcPr>
            <w:tcW w:w="0" w:type="dxa"/>
            <w:vAlign w:val="bottom"/>
          </w:tcPr>
          <w:p>
            <w:pPr>
              <w:spacing w:after="0"/>
              <w:rPr>
                <w:sz w:val="1"/>
                <w:szCs w:val="1"/>
                <w:color w:val="auto"/>
              </w:rPr>
            </w:pPr>
          </w:p>
        </w:tc>
      </w:tr>
      <w:tr>
        <w:trPr>
          <w:trHeight w:val="79"/>
        </w:trPr>
        <w:tc>
          <w:tcPr>
            <w:tcW w:w="1040" w:type="dxa"/>
            <w:vAlign w:val="bottom"/>
          </w:tcPr>
          <w:p>
            <w:pPr>
              <w:spacing w:after="0"/>
              <w:rPr>
                <w:sz w:val="6"/>
                <w:szCs w:val="6"/>
                <w:color w:val="auto"/>
              </w:rPr>
            </w:pPr>
          </w:p>
        </w:tc>
        <w:tc>
          <w:tcPr>
            <w:tcW w:w="6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1040" w:type="dxa"/>
            <w:vAlign w:val="bottom"/>
          </w:tcPr>
          <w:p>
            <w:pPr>
              <w:jc w:val="right"/>
              <w:ind w:right="481"/>
              <w:spacing w:after="0"/>
              <w:rPr>
                <w:sz w:val="20"/>
                <w:szCs w:val="20"/>
                <w:color w:val="auto"/>
              </w:rPr>
            </w:pPr>
            <w:r>
              <w:rPr>
                <w:rFonts w:ascii="Times New Roman" w:cs="Times New Roman" w:eastAsia="Times New Roman" w:hAnsi="Times New Roman"/>
                <w:sz w:val="20"/>
                <w:szCs w:val="20"/>
                <w:color w:val="auto"/>
                <w:w w:val="97"/>
              </w:rPr>
              <w:t>23.2*</w:t>
            </w:r>
          </w:p>
        </w:tc>
        <w:tc>
          <w:tcPr>
            <w:tcW w:w="6780" w:type="dxa"/>
            <w:vAlign w:val="bottom"/>
          </w:tcPr>
          <w:p>
            <w:pPr>
              <w:ind w:left="600"/>
              <w:spacing w:after="0"/>
              <w:rPr>
                <w:sz w:val="20"/>
                <w:szCs w:val="20"/>
                <w:color w:val="auto"/>
              </w:rPr>
            </w:pPr>
            <w:r>
              <w:rPr>
                <w:rFonts w:ascii="Times New Roman" w:cs="Times New Roman" w:eastAsia="Times New Roman" w:hAnsi="Times New Roman"/>
                <w:sz w:val="20"/>
                <w:szCs w:val="20"/>
                <w:u w:val="single" w:color="auto"/>
                <w:color w:val="0000FF"/>
                <w:w w:val="98"/>
              </w:rPr>
              <w:t>Consent of BDO USA, P.C., Independent Registered Public Accounting Firm.</w:t>
            </w:r>
          </w:p>
        </w:tc>
        <w:tc>
          <w:tcPr>
            <w:tcW w:w="0" w:type="dxa"/>
            <w:vAlign w:val="bottom"/>
          </w:tcPr>
          <w:p>
            <w:pPr>
              <w:spacing w:after="0"/>
              <w:rPr>
                <w:sz w:val="1"/>
                <w:szCs w:val="1"/>
                <w:color w:val="auto"/>
              </w:rPr>
            </w:pPr>
          </w:p>
        </w:tc>
      </w:tr>
    </w:tbl>
    <w:p>
      <w:pPr>
        <w:spacing w:after="0" w:line="66" w:lineRule="exact"/>
        <w:rPr>
          <w:sz w:val="20"/>
          <w:szCs w:val="20"/>
          <w:color w:val="auto"/>
        </w:rPr>
      </w:pPr>
    </w:p>
    <w:tbl>
      <w:tblPr>
        <w:tblLayout w:type="fixed"/>
        <w:tblInd w:w="20" w:type="dxa"/>
        <w:tblCellMar>
          <w:top w:w="0" w:type="dxa"/>
          <w:left w:w="0" w:type="dxa"/>
          <w:bottom w:w="0" w:type="dxa"/>
          <w:right w:w="0" w:type="dxa"/>
        </w:tblCellMar>
      </w:tblP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0"/>
                <w:szCs w:val="20"/>
                <w:color w:val="auto"/>
              </w:rPr>
              <w:t>24.1</w:t>
            </w:r>
          </w:p>
        </w:tc>
        <w:tc>
          <w:tcPr>
            <w:tcW w:w="43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w w:val="98"/>
              </w:rPr>
              <w:t>Power of Attorney (included on signature page hereto).</w:t>
            </w:r>
          </w:p>
        </w:tc>
        <w:tc>
          <w:tcPr>
            <w:tcW w:w="0" w:type="dxa"/>
            <w:vAlign w:val="bottom"/>
          </w:tcPr>
          <w:p>
            <w:pPr>
              <w:spacing w:after="0"/>
              <w:rPr>
                <w:sz w:val="1"/>
                <w:szCs w:val="1"/>
                <w:color w:val="auto"/>
              </w:rPr>
            </w:pPr>
          </w:p>
        </w:tc>
      </w:tr>
      <w:tr>
        <w:trPr>
          <w:trHeight w:val="40"/>
        </w:trPr>
        <w:tc>
          <w:tcPr>
            <w:tcW w:w="1640" w:type="dxa"/>
            <w:vAlign w:val="bottom"/>
          </w:tcPr>
          <w:p>
            <w:pPr>
              <w:spacing w:after="0"/>
              <w:rPr>
                <w:sz w:val="3"/>
                <w:szCs w:val="3"/>
                <w:color w:val="auto"/>
              </w:rPr>
            </w:pPr>
          </w:p>
        </w:tc>
        <w:tc>
          <w:tcPr>
            <w:tcW w:w="4380" w:type="dxa"/>
            <w:vAlign w:val="bottom"/>
            <w:tcBorders>
              <w:bottom w:val="single" w:sz="8" w:color="0000FF"/>
            </w:tcBorders>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50"/>
        </w:trPr>
        <w:tc>
          <w:tcPr>
            <w:tcW w:w="1640" w:type="dxa"/>
            <w:vAlign w:val="bottom"/>
          </w:tcPr>
          <w:p>
            <w:pPr>
              <w:spacing w:after="0"/>
              <w:rPr>
                <w:sz w:val="20"/>
                <w:szCs w:val="20"/>
                <w:color w:val="auto"/>
              </w:rPr>
            </w:pPr>
            <w:r>
              <w:rPr>
                <w:rFonts w:ascii="Times New Roman" w:cs="Times New Roman" w:eastAsia="Times New Roman" w:hAnsi="Times New Roman"/>
                <w:sz w:val="20"/>
                <w:szCs w:val="20"/>
                <w:color w:val="auto"/>
              </w:rPr>
              <w:t>107.1*</w:t>
            </w:r>
          </w:p>
        </w:tc>
        <w:tc>
          <w:tcPr>
            <w:tcW w:w="43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rPr>
              <w:t>Filing Fee Table.</w:t>
            </w:r>
          </w:p>
        </w:tc>
        <w:tc>
          <w:tcPr>
            <w:tcW w:w="0" w:type="dxa"/>
            <w:vAlign w:val="bottom"/>
          </w:tcPr>
          <w:p>
            <w:pPr>
              <w:spacing w:after="0"/>
              <w:rPr>
                <w:sz w:val="1"/>
                <w:szCs w:val="1"/>
                <w:color w:val="auto"/>
              </w:rPr>
            </w:pPr>
          </w:p>
        </w:tc>
      </w:tr>
      <w:tr>
        <w:trPr>
          <w:trHeight w:val="35"/>
        </w:trPr>
        <w:tc>
          <w:tcPr>
            <w:tcW w:w="1640" w:type="dxa"/>
            <w:vAlign w:val="bottom"/>
          </w:tcPr>
          <w:p>
            <w:pPr>
              <w:spacing w:after="0"/>
              <w:rPr>
                <w:sz w:val="3"/>
                <w:szCs w:val="3"/>
                <w:color w:val="auto"/>
              </w:rPr>
            </w:pPr>
          </w:p>
        </w:tc>
        <w:tc>
          <w:tcPr>
            <w:tcW w:w="43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Filed herewith.</w:t>
      </w:r>
    </w:p>
    <w:p>
      <w:pPr>
        <w:spacing w:after="0" w:line="18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Indicates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Undertakings.</w:t>
      </w:r>
    </w:p>
    <w:p>
      <w:pPr>
        <w:spacing w:after="0" w:line="233" w:lineRule="exact"/>
        <w:rPr>
          <w:sz w:val="20"/>
          <w:szCs w:val="20"/>
          <w:color w:val="auto"/>
        </w:rPr>
      </w:pPr>
    </w:p>
    <w:p>
      <w:pPr>
        <w:ind w:left="280" w:hanging="272"/>
        <w:spacing w:after="0"/>
        <w:tabs>
          <w:tab w:leader="none" w:pos="2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undersigned registrant hereby undertakes:</w:t>
      </w:r>
    </w:p>
    <w:p>
      <w:pPr>
        <w:spacing w:after="0" w:line="215"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file, during any period in which offers or sales are being made, a post-effective amendment to this registration statement:</w:t>
      </w:r>
    </w:p>
    <w:p>
      <w:pPr>
        <w:spacing w:after="0" w:line="229" w:lineRule="exact"/>
        <w:rPr>
          <w:rFonts w:ascii="Times New Roman" w:cs="Times New Roman" w:eastAsia="Times New Roman" w:hAnsi="Times New Roman"/>
          <w:sz w:val="20"/>
          <w:szCs w:val="20"/>
          <w:color w:val="auto"/>
        </w:rPr>
      </w:pPr>
    </w:p>
    <w:p>
      <w:pPr>
        <w:ind w:left="1540" w:hanging="236"/>
        <w:spacing w:after="0"/>
        <w:tabs>
          <w:tab w:leader="none" w:pos="1540" w:val="left"/>
        </w:tabs>
        <w:numPr>
          <w:ilvl w:val="2"/>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include any prospectus required by section 10(a)(3) of the Securities Act of 1933;</w:t>
      </w:r>
    </w:p>
    <w:p>
      <w:pPr>
        <w:spacing w:after="0" w:line="229" w:lineRule="exact"/>
        <w:rPr>
          <w:rFonts w:ascii="Times New Roman" w:cs="Times New Roman" w:eastAsia="Times New Roman" w:hAnsi="Times New Roman"/>
          <w:sz w:val="20"/>
          <w:szCs w:val="20"/>
          <w:color w:val="auto"/>
        </w:rPr>
      </w:pPr>
    </w:p>
    <w:p>
      <w:pPr>
        <w:jc w:val="both"/>
        <w:ind w:firstLine="1304"/>
        <w:spacing w:after="0" w:line="251" w:lineRule="auto"/>
        <w:tabs>
          <w:tab w:leader="none" w:pos="1601" w:val="left"/>
        </w:tabs>
        <w:numPr>
          <w:ilvl w:val="2"/>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192" w:lineRule="exact"/>
        <w:rPr>
          <w:rFonts w:ascii="Times New Roman" w:cs="Times New Roman" w:eastAsia="Times New Roman" w:hAnsi="Times New Roman"/>
          <w:sz w:val="20"/>
          <w:szCs w:val="20"/>
          <w:color w:val="auto"/>
        </w:rPr>
      </w:pPr>
    </w:p>
    <w:p>
      <w:pPr>
        <w:ind w:firstLine="1304"/>
        <w:spacing w:after="0" w:line="269" w:lineRule="auto"/>
        <w:tabs>
          <w:tab w:leader="none" w:pos="1656" w:val="left"/>
        </w:tabs>
        <w:numPr>
          <w:ilvl w:val="2"/>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include any material information with respect to the plan of distribution not previously disclosed in the registration statement or any material change to such information in the registration statement;</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provided, however, that the undertakings set forth in paragraphs (a)(1)(i) and (a)(1)(ii) above do not apply if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w:t>
      </w:r>
    </w:p>
    <w:p>
      <w:pPr>
        <w:spacing w:after="0" w:line="181" w:lineRule="exact"/>
        <w:rPr>
          <w:sz w:val="20"/>
          <w:szCs w:val="20"/>
          <w:color w:val="auto"/>
        </w:rPr>
      </w:pPr>
    </w:p>
    <w:p>
      <w:pPr>
        <w:jc w:val="both"/>
        <w:ind w:firstLine="656"/>
        <w:spacing w:after="0" w:line="269" w:lineRule="auto"/>
        <w:tabs>
          <w:tab w:leader="none" w:pos="9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w:t>
      </w:r>
    </w:p>
    <w:p>
      <w:pPr>
        <w:sectPr>
          <w:pgSz w:w="11900" w:h="16838" w:orient="portrait"/>
          <w:cols w:equalWidth="0" w:num="1">
            <w:col w:w="11240"/>
          </w:cols>
          <w:pgMar w:left="320" w:top="1071" w:right="339" w:bottom="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0"/>
          <w:szCs w:val="20"/>
          <w:color w:val="auto"/>
        </w:rPr>
        <w:t>be the initial bona fide offering thereof.</w:t>
      </w:r>
    </w:p>
    <w:p>
      <w:pPr>
        <w:spacing w:after="0" w:line="228" w:lineRule="exact"/>
        <w:rPr>
          <w:sz w:val="20"/>
          <w:szCs w:val="20"/>
          <w:color w:val="auto"/>
        </w:rPr>
      </w:pPr>
    </w:p>
    <w:p>
      <w:pPr>
        <w:ind w:right="20" w:firstLine="656"/>
        <w:spacing w:after="0" w:line="269" w:lineRule="auto"/>
        <w:tabs>
          <w:tab w:leader="none" w:pos="928"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remove from registration by means of a post-effective amendment any of the securities being registered which remain unsold at the termination of the offering.</w:t>
      </w:r>
    </w:p>
    <w:p>
      <w:pPr>
        <w:spacing w:after="0" w:line="172" w:lineRule="exact"/>
        <w:rPr>
          <w:rFonts w:ascii="Times New Roman" w:cs="Times New Roman" w:eastAsia="Times New Roman" w:hAnsi="Times New Roman"/>
          <w:sz w:val="20"/>
          <w:szCs w:val="20"/>
          <w:color w:val="auto"/>
        </w:rPr>
      </w:pPr>
    </w:p>
    <w:p>
      <w:pPr>
        <w:jc w:val="both"/>
        <w:ind w:firstLine="8"/>
        <w:spacing w:after="0" w:line="253" w:lineRule="auto"/>
        <w:tabs>
          <w:tab w:leader="none" w:pos="307"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undersigned registrant hereby undertakes that, for purposes of determining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91" w:lineRule="exact"/>
        <w:rPr>
          <w:rFonts w:ascii="Times New Roman" w:cs="Times New Roman" w:eastAsia="Times New Roman" w:hAnsi="Times New Roman"/>
          <w:sz w:val="20"/>
          <w:szCs w:val="20"/>
          <w:color w:val="auto"/>
        </w:rPr>
      </w:pPr>
    </w:p>
    <w:p>
      <w:pPr>
        <w:jc w:val="both"/>
        <w:ind w:firstLine="8"/>
        <w:spacing w:after="0" w:line="251" w:lineRule="auto"/>
        <w:tabs>
          <w:tab w:leader="none" w:pos="269"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240"/>
          </w:cols>
          <w:pgMar w:left="320" w:top="118"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Chaska, State of Minnesota, on August 7, 2025.</w:t>
      </w:r>
    </w:p>
    <w:p>
      <w:pPr>
        <w:spacing w:after="0" w:line="22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0"/>
          <w:szCs w:val="20"/>
          <w:color w:val="auto"/>
        </w:rPr>
        <w:t>LIFECORE BIOMEDICAL, INC.</w:t>
      </w:r>
    </w:p>
    <w:p>
      <w:pPr>
        <w:spacing w:after="0" w:line="175" w:lineRule="exact"/>
        <w:rPr>
          <w:sz w:val="20"/>
          <w:szCs w:val="20"/>
          <w:color w:val="auto"/>
        </w:rPr>
      </w:pPr>
    </w:p>
    <w:p>
      <w:pPr>
        <w:ind w:left="6200"/>
        <w:spacing w:after="0"/>
        <w:tabs>
          <w:tab w:leader="none" w:pos="6680" w:val="left"/>
        </w:tabs>
        <w:rPr>
          <w:sz w:val="20"/>
          <w:szCs w:val="20"/>
          <w:color w:val="auto"/>
        </w:rPr>
      </w:pPr>
      <w:r>
        <w:rPr>
          <w:rFonts w:ascii="Times New Roman" w:cs="Times New Roman" w:eastAsia="Times New Roman" w:hAnsi="Times New Roman"/>
          <w:sz w:val="20"/>
          <w:szCs w:val="20"/>
          <w:color w:val="auto"/>
        </w:rPr>
        <w:t>By:</w:t>
        <w:tab/>
        <w:t>/s/ Paul Josephs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22860</wp:posOffset>
            </wp:positionV>
            <wp:extent cx="2888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0"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20"/>
          <w:szCs w:val="20"/>
          <w:color w:val="auto"/>
        </w:rPr>
        <w:t>Paul Josephs</w:t>
      </w:r>
    </w:p>
    <w:p>
      <w:pPr>
        <w:spacing w:after="0" w:line="28"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pacing w:after="0" w:line="27"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19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Each of the undersigned officers and directors of Lifecore Biomedical, Inc. hereby constitute and appoint Paul Josephs and Ryan D. Lake, each acting alone, with power to act as his or her true and lawful attorney-in-fact and agent, with full power of substitution and resubstitution, for him or her and in his or her stead, in any and all capacities to sign any and all amendments (including post-effective amendments) to this Registration Statement and all documents relating thereto, and to file the same, with all exhibits thereto, and other documents in connection therewith, with the Securities and Exchange Commission, granting unto said attorney-in-fact and agent, full power and authority to do and perform each and every act and thing necessary or advisable to be done in and about the premises, as fully to all intents and purposes as he or she might or could do in person, hereby ratifying and confirming all that said attorney-in-fact and agent, or his or her substitutes, may lawfully do or cause to be done by virtue hereof.</w:t>
      </w:r>
    </w:p>
    <w:p>
      <w:pPr>
        <w:spacing w:after="0" w:line="19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Act of 1933, as amended, this registration statement has been signed below by the following persons in the capacities indicated on August 7, 2025.</w:t>
      </w:r>
    </w:p>
    <w:p>
      <w:pPr>
        <w:spacing w:after="0" w:line="213" w:lineRule="exact"/>
        <w:rPr>
          <w:sz w:val="20"/>
          <w:szCs w:val="20"/>
          <w:color w:val="auto"/>
        </w:rPr>
      </w:pPr>
    </w:p>
    <w:tbl>
      <w:tblPr>
        <w:tblLayout w:type="fixed"/>
        <w:tblInd w:w="60" w:type="dxa"/>
        <w:tblCellMar>
          <w:top w:w="0" w:type="dxa"/>
          <w:left w:w="0" w:type="dxa"/>
          <w:bottom w:w="0" w:type="dxa"/>
          <w:right w:w="0" w:type="dxa"/>
        </w:tblCellMar>
      </w:tblPr>
      <w:tr>
        <w:trPr>
          <w:trHeight w:val="259"/>
        </w:trPr>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Paul Josephs</w:t>
            </w:r>
          </w:p>
        </w:tc>
        <w:tc>
          <w:tcPr>
            <w:tcW w:w="4400" w:type="dxa"/>
            <w:vAlign w:val="bottom"/>
          </w:tcPr>
          <w:p>
            <w:pPr>
              <w:ind w:left="560"/>
              <w:spacing w:after="0"/>
              <w:rPr>
                <w:sz w:val="20"/>
                <w:szCs w:val="20"/>
                <w:color w:val="auto"/>
              </w:rPr>
            </w:pPr>
            <w:r>
              <w:rPr>
                <w:rFonts w:ascii="Times New Roman" w:cs="Times New Roman" w:eastAsia="Times New Roman" w:hAnsi="Times New Roman"/>
                <w:sz w:val="20"/>
                <w:szCs w:val="20"/>
                <w:color w:val="auto"/>
                <w:w w:val="98"/>
              </w:rPr>
              <w:t>President and Chief Executive Officer (Principal</w:t>
            </w:r>
          </w:p>
        </w:tc>
      </w:tr>
      <w:tr>
        <w:trPr>
          <w:trHeight w:val="258"/>
        </w:trPr>
        <w:tc>
          <w:tcPr>
            <w:tcW w:w="4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Paul Josephs</w:t>
            </w:r>
          </w:p>
        </w:tc>
        <w:tc>
          <w:tcPr>
            <w:tcW w:w="440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Executive Officer) and Director</w:t>
            </w:r>
          </w:p>
        </w:tc>
      </w:tr>
      <w:tr>
        <w:trPr>
          <w:trHeight w:val="505"/>
        </w:trPr>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Ryan D. Lake</w:t>
            </w:r>
          </w:p>
        </w:tc>
        <w:tc>
          <w:tcPr>
            <w:tcW w:w="440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258"/>
        </w:trPr>
        <w:tc>
          <w:tcPr>
            <w:tcW w:w="4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Ryan D. Lake</w:t>
            </w:r>
          </w:p>
        </w:tc>
        <w:tc>
          <w:tcPr>
            <w:tcW w:w="440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(Principal Financial and Accounting Officer)</w:t>
            </w:r>
          </w:p>
        </w:tc>
      </w:tr>
      <w:tr>
        <w:trPr>
          <w:trHeight w:val="507"/>
        </w:trPr>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Humberto C. Antunes</w:t>
            </w:r>
          </w:p>
        </w:tc>
        <w:tc>
          <w:tcPr>
            <w:tcW w:w="440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Director</w:t>
            </w:r>
          </w:p>
        </w:tc>
      </w:tr>
      <w:tr>
        <w:trPr>
          <w:trHeight w:val="256"/>
        </w:trPr>
        <w:tc>
          <w:tcPr>
            <w:tcW w:w="4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Humberto C. Antunes</w:t>
            </w:r>
          </w:p>
        </w:tc>
        <w:tc>
          <w:tcPr>
            <w:tcW w:w="4400" w:type="dxa"/>
            <w:vAlign w:val="bottom"/>
          </w:tcPr>
          <w:p>
            <w:pPr>
              <w:spacing w:after="0"/>
              <w:rPr>
                <w:sz w:val="22"/>
                <w:szCs w:val="22"/>
                <w:color w:val="auto"/>
              </w:rPr>
            </w:pPr>
          </w:p>
        </w:tc>
      </w:tr>
      <w:tr>
        <w:trPr>
          <w:trHeight w:val="507"/>
        </w:trPr>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Jason Aryeh</w:t>
            </w:r>
          </w:p>
        </w:tc>
        <w:tc>
          <w:tcPr>
            <w:tcW w:w="440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Director</w:t>
            </w:r>
          </w:p>
        </w:tc>
      </w:tr>
      <w:tr>
        <w:trPr>
          <w:trHeight w:val="256"/>
        </w:trPr>
        <w:tc>
          <w:tcPr>
            <w:tcW w:w="4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Jason Aryeh</w:t>
            </w:r>
          </w:p>
        </w:tc>
        <w:tc>
          <w:tcPr>
            <w:tcW w:w="4400" w:type="dxa"/>
            <w:vAlign w:val="bottom"/>
          </w:tcPr>
          <w:p>
            <w:pPr>
              <w:spacing w:after="0"/>
              <w:rPr>
                <w:sz w:val="22"/>
                <w:szCs w:val="22"/>
                <w:color w:val="auto"/>
              </w:rPr>
            </w:pPr>
          </w:p>
        </w:tc>
      </w:tr>
      <w:tr>
        <w:trPr>
          <w:trHeight w:val="507"/>
        </w:trPr>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Katrina L. Houde</w:t>
            </w:r>
          </w:p>
        </w:tc>
        <w:tc>
          <w:tcPr>
            <w:tcW w:w="440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Director</w:t>
            </w:r>
          </w:p>
        </w:tc>
      </w:tr>
      <w:tr>
        <w:trPr>
          <w:trHeight w:val="256"/>
        </w:trPr>
        <w:tc>
          <w:tcPr>
            <w:tcW w:w="4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Katrina L. Houde</w:t>
            </w:r>
          </w:p>
        </w:tc>
        <w:tc>
          <w:tcPr>
            <w:tcW w:w="4400" w:type="dxa"/>
            <w:vAlign w:val="bottom"/>
          </w:tcPr>
          <w:p>
            <w:pPr>
              <w:spacing w:after="0"/>
              <w:rPr>
                <w:sz w:val="22"/>
                <w:szCs w:val="22"/>
                <w:color w:val="auto"/>
              </w:rPr>
            </w:pPr>
          </w:p>
        </w:tc>
      </w:tr>
      <w:tr>
        <w:trPr>
          <w:trHeight w:val="399"/>
        </w:trPr>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Paul H. Johnson</w:t>
            </w:r>
          </w:p>
        </w:tc>
        <w:tc>
          <w:tcPr>
            <w:tcW w:w="440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Director</w:t>
            </w:r>
          </w:p>
        </w:tc>
      </w:tr>
      <w:tr>
        <w:trPr>
          <w:trHeight w:val="256"/>
        </w:trPr>
        <w:tc>
          <w:tcPr>
            <w:tcW w:w="4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Paul H. Johnson</w:t>
            </w:r>
          </w:p>
        </w:tc>
        <w:tc>
          <w:tcPr>
            <w:tcW w:w="4400" w:type="dxa"/>
            <w:vAlign w:val="bottom"/>
          </w:tcPr>
          <w:p>
            <w:pPr>
              <w:spacing w:after="0"/>
              <w:rPr>
                <w:sz w:val="22"/>
                <w:szCs w:val="22"/>
                <w:color w:val="auto"/>
              </w:rPr>
            </w:pPr>
          </w:p>
        </w:tc>
      </w:tr>
      <w:tr>
        <w:trPr>
          <w:trHeight w:val="507"/>
        </w:trPr>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Christopher Kiper</w:t>
            </w:r>
          </w:p>
        </w:tc>
        <w:tc>
          <w:tcPr>
            <w:tcW w:w="440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Director</w:t>
            </w:r>
          </w:p>
        </w:tc>
      </w:tr>
      <w:tr>
        <w:trPr>
          <w:trHeight w:val="256"/>
        </w:trPr>
        <w:tc>
          <w:tcPr>
            <w:tcW w:w="4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Christopher Kiper</w:t>
            </w:r>
          </w:p>
        </w:tc>
        <w:tc>
          <w:tcPr>
            <w:tcW w:w="4400" w:type="dxa"/>
            <w:vAlign w:val="bottom"/>
          </w:tcPr>
          <w:p>
            <w:pPr>
              <w:spacing w:after="0"/>
              <w:rPr>
                <w:sz w:val="22"/>
                <w:szCs w:val="22"/>
                <w:color w:val="auto"/>
              </w:rPr>
            </w:pPr>
          </w:p>
        </w:tc>
      </w:tr>
      <w:tr>
        <w:trPr>
          <w:trHeight w:val="399"/>
        </w:trPr>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Matthew Korenberg</w:t>
            </w:r>
          </w:p>
        </w:tc>
        <w:tc>
          <w:tcPr>
            <w:tcW w:w="440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Director</w:t>
            </w:r>
          </w:p>
        </w:tc>
      </w:tr>
      <w:tr>
        <w:trPr>
          <w:trHeight w:val="256"/>
        </w:trPr>
        <w:tc>
          <w:tcPr>
            <w:tcW w:w="4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Matthew Korenberg</w:t>
            </w:r>
          </w:p>
        </w:tc>
        <w:tc>
          <w:tcPr>
            <w:tcW w:w="4400" w:type="dxa"/>
            <w:vAlign w:val="bottom"/>
          </w:tcPr>
          <w:p>
            <w:pPr>
              <w:spacing w:after="0"/>
              <w:rPr>
                <w:sz w:val="22"/>
                <w:szCs w:val="22"/>
                <w:color w:val="auto"/>
              </w:rPr>
            </w:pPr>
          </w:p>
        </w:tc>
      </w:tr>
      <w:tr>
        <w:trPr>
          <w:trHeight w:val="399"/>
        </w:trPr>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Nelson Obus</w:t>
            </w:r>
          </w:p>
        </w:tc>
        <w:tc>
          <w:tcPr>
            <w:tcW w:w="440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Director</w:t>
            </w:r>
          </w:p>
        </w:tc>
      </w:tr>
      <w:tr>
        <w:trPr>
          <w:trHeight w:val="256"/>
        </w:trPr>
        <w:tc>
          <w:tcPr>
            <w:tcW w:w="4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Nelson Obus</w:t>
            </w:r>
          </w:p>
        </w:tc>
        <w:tc>
          <w:tcPr>
            <w:tcW w:w="4400" w:type="dxa"/>
            <w:vAlign w:val="bottom"/>
          </w:tcPr>
          <w:p>
            <w:pPr>
              <w:spacing w:after="0"/>
              <w:rPr>
                <w:sz w:val="22"/>
                <w:szCs w:val="22"/>
                <w:color w:val="auto"/>
              </w:rPr>
            </w:pPr>
          </w:p>
        </w:tc>
      </w:tr>
      <w:tr>
        <w:trPr>
          <w:trHeight w:val="399"/>
        </w:trPr>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Joshua E. Schechter</w:t>
            </w:r>
          </w:p>
        </w:tc>
        <w:tc>
          <w:tcPr>
            <w:tcW w:w="440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Director</w:t>
            </w:r>
          </w:p>
        </w:tc>
      </w:tr>
      <w:tr>
        <w:trPr>
          <w:trHeight w:val="256"/>
        </w:trPr>
        <w:tc>
          <w:tcPr>
            <w:tcW w:w="4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Joshua E. Schechter</w:t>
            </w:r>
          </w:p>
        </w:tc>
        <w:tc>
          <w:tcPr>
            <w:tcW w:w="4400" w:type="dxa"/>
            <w:vAlign w:val="bottom"/>
          </w:tcPr>
          <w:p>
            <w:pPr>
              <w:spacing w:after="0"/>
              <w:rPr>
                <w:sz w:val="22"/>
                <w:szCs w:val="22"/>
                <w:color w:val="auto"/>
              </w:rPr>
            </w:pPr>
          </w:p>
        </w:tc>
      </w:tr>
    </w:tbl>
    <w:p>
      <w:pPr>
        <w:sectPr>
          <w:pgSz w:w="11900" w:h="16838" w:orient="portrait"/>
          <w:cols w:equalWidth="0" w:num="1">
            <w:col w:w="11240"/>
          </w:cols>
          <w:pgMar w:left="320" w:top="612" w:right="339" w:bottom="1440" w:gutter="0" w:footer="0" w:header="0"/>
        </w:sectPr>
      </w:pPr>
    </w:p>
    <w:bookmarkStart w:id="7" w:name="page8"/>
    <w:bookmarkEnd w:id="7"/>
    <w:p>
      <w:pPr>
        <w:ind w:left="9900"/>
        <w:spacing w:after="0"/>
        <w:rPr>
          <w:sz w:val="20"/>
          <w:szCs w:val="20"/>
          <w:color w:val="auto"/>
        </w:rPr>
      </w:pPr>
      <w:r>
        <w:rPr>
          <w:rFonts w:ascii="Times New Roman" w:cs="Times New Roman" w:eastAsia="Times New Roman" w:hAnsi="Times New Roman"/>
          <w:sz w:val="20"/>
          <w:szCs w:val="20"/>
          <w:b w:val="1"/>
          <w:bCs w:val="1"/>
          <w:color w:val="auto"/>
        </w:rPr>
        <w:t>EXHIBIT 107.1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Calculation of Filing Fee Tables</w:t>
      </w: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Form S-8</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(Form Type)</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Lifecore Biomedical, Inc.</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2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u w:val="single" w:color="auto"/>
          <w:color w:val="auto"/>
        </w:rPr>
        <w:t>Table 1: Newly Registered and Carry Forward Securities</w:t>
      </w:r>
    </w:p>
    <w:p>
      <w:pPr>
        <w:spacing w:after="0" w:line="286"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860" w:type="dxa"/>
            <w:vAlign w:val="bottom"/>
            <w:tcBorders>
              <w:top w:val="single" w:sz="8" w:color="auto"/>
              <w:left w:val="single" w:sz="8" w:color="auto"/>
              <w:right w:val="single" w:sz="8" w:color="auto"/>
            </w:tcBorders>
          </w:tcPr>
          <w:p>
            <w:pPr>
              <w:spacing w:after="0"/>
              <w:rPr>
                <w:sz w:val="23"/>
                <w:szCs w:val="23"/>
                <w:color w:val="auto"/>
              </w:rPr>
            </w:pPr>
          </w:p>
        </w:tc>
        <w:tc>
          <w:tcPr>
            <w:tcW w:w="2520" w:type="dxa"/>
            <w:vAlign w:val="bottom"/>
            <w:tcBorders>
              <w:top w:val="single" w:sz="8" w:color="auto"/>
              <w:right w:val="single" w:sz="8" w:color="auto"/>
            </w:tcBorders>
          </w:tcPr>
          <w:p>
            <w:pPr>
              <w:spacing w:after="0"/>
              <w:rPr>
                <w:sz w:val="23"/>
                <w:szCs w:val="23"/>
                <w:color w:val="auto"/>
              </w:rPr>
            </w:pPr>
          </w:p>
        </w:tc>
        <w:tc>
          <w:tcPr>
            <w:tcW w:w="1100" w:type="dxa"/>
            <w:vAlign w:val="bottom"/>
            <w:tcBorders>
              <w:top w:val="single" w:sz="8" w:color="auto"/>
              <w:right w:val="single" w:sz="8" w:color="auto"/>
            </w:tcBorders>
          </w:tcPr>
          <w:p>
            <w:pPr>
              <w:spacing w:after="0"/>
              <w:rPr>
                <w:sz w:val="23"/>
                <w:szCs w:val="23"/>
                <w:color w:val="auto"/>
              </w:rPr>
            </w:pPr>
          </w:p>
        </w:tc>
        <w:tc>
          <w:tcPr>
            <w:tcW w:w="1460" w:type="dxa"/>
            <w:vAlign w:val="bottom"/>
            <w:tcBorders>
              <w:top w:val="single" w:sz="8" w:color="auto"/>
              <w:right w:val="single" w:sz="8" w:color="auto"/>
            </w:tcBorders>
          </w:tcPr>
          <w:p>
            <w:pPr>
              <w:spacing w:after="0"/>
              <w:rPr>
                <w:sz w:val="23"/>
                <w:szCs w:val="23"/>
                <w:color w:val="auto"/>
              </w:rPr>
            </w:pPr>
          </w:p>
        </w:tc>
        <w:tc>
          <w:tcPr>
            <w:tcW w:w="10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Proposed</w:t>
            </w:r>
          </w:p>
        </w:tc>
        <w:tc>
          <w:tcPr>
            <w:tcW w:w="1500" w:type="dxa"/>
            <w:vAlign w:val="bottom"/>
            <w:tcBorders>
              <w:top w:val="single" w:sz="8" w:color="auto"/>
              <w:right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040" w:type="dxa"/>
            <w:vAlign w:val="bottom"/>
            <w:tcBorders>
              <w:top w:val="single" w:sz="8" w:color="auto"/>
              <w:right w:val="single" w:sz="8" w:color="auto"/>
            </w:tcBorders>
          </w:tcPr>
          <w:p>
            <w:pPr>
              <w:spacing w:after="0"/>
              <w:rPr>
                <w:sz w:val="23"/>
                <w:szCs w:val="23"/>
                <w:color w:val="auto"/>
              </w:rPr>
            </w:pPr>
          </w:p>
        </w:tc>
        <w:tc>
          <w:tcPr>
            <w:tcW w:w="148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860" w:type="dxa"/>
            <w:vAlign w:val="bottom"/>
            <w:tcBorders>
              <w:left w:val="single" w:sz="8" w:color="auto"/>
              <w:right w:val="single" w:sz="8" w:color="auto"/>
            </w:tcBorders>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Maximum</w:t>
            </w:r>
          </w:p>
        </w:tc>
        <w:tc>
          <w:tcPr>
            <w:tcW w:w="15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Borders>
              <w:left w:val="single" w:sz="8" w:color="auto"/>
              <w:right w:val="single" w:sz="8" w:color="auto"/>
            </w:tcBorders>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Fee</w:t>
            </w:r>
          </w:p>
        </w:tc>
        <w:tc>
          <w:tcPr>
            <w:tcW w:w="146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Offering</w:t>
            </w: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Maximum</w:t>
            </w:r>
          </w:p>
        </w:tc>
        <w:tc>
          <w:tcPr>
            <w:tcW w:w="26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860" w:type="dxa"/>
            <w:vAlign w:val="bottom"/>
            <w:tcBorders>
              <w:left w:val="single" w:sz="8" w:color="auto"/>
              <w:right w:val="single" w:sz="8" w:color="auto"/>
            </w:tcBorders>
          </w:tcPr>
          <w:p>
            <w:pPr>
              <w:spacing w:after="0"/>
              <w:rPr>
                <w:sz w:val="8"/>
                <w:szCs w:val="8"/>
                <w:color w:val="auto"/>
              </w:rPr>
            </w:pPr>
          </w:p>
        </w:tc>
        <w:tc>
          <w:tcPr>
            <w:tcW w:w="2520" w:type="dxa"/>
            <w:vAlign w:val="bottom"/>
            <w:tcBorders>
              <w:right w:val="single" w:sz="8" w:color="auto"/>
            </w:tcBorders>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Amount</w:t>
            </w:r>
          </w:p>
        </w:tc>
        <w:tc>
          <w:tcPr>
            <w:tcW w:w="1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Price Per</w:t>
            </w:r>
          </w:p>
        </w:tc>
        <w:tc>
          <w:tcPr>
            <w:tcW w:w="1500" w:type="dxa"/>
            <w:vAlign w:val="bottom"/>
            <w:tcBorders>
              <w:right w:val="single" w:sz="8" w:color="auto"/>
            </w:tcBorders>
            <w:vMerge w:val="continue"/>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Borders>
              <w:right w:val="single" w:sz="8" w:color="auto"/>
            </w:tcBorders>
          </w:tcPr>
          <w:p>
            <w:pPr>
              <w:spacing w:after="0"/>
              <w:rPr>
                <w:sz w:val="8"/>
                <w:szCs w:val="8"/>
                <w:color w:val="auto"/>
              </w:rPr>
            </w:pPr>
          </w:p>
        </w:tc>
        <w:tc>
          <w:tcPr>
            <w:tcW w:w="14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860" w:type="dxa"/>
            <w:vAlign w:val="bottom"/>
            <w:tcBorders>
              <w:left w:val="single" w:sz="8" w:color="auto"/>
              <w:right w:val="single" w:sz="8" w:color="auto"/>
            </w:tcBorders>
            <w:vMerge w:val="restart"/>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Security</w:t>
            </w:r>
          </w:p>
        </w:tc>
        <w:tc>
          <w:tcPr>
            <w:tcW w:w="252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vMerge w:val="restart"/>
          </w:tcPr>
          <w:p>
            <w:pPr>
              <w:jc w:val="center"/>
              <w:spacing w:after="0" w:line="176" w:lineRule="exact"/>
              <w:rPr>
                <w:sz w:val="20"/>
                <w:szCs w:val="20"/>
                <w:color w:val="auto"/>
              </w:rPr>
            </w:pPr>
            <w:r>
              <w:rPr>
                <w:rFonts w:ascii="Times New Roman" w:cs="Times New Roman" w:eastAsia="Times New Roman" w:hAnsi="Times New Roman"/>
                <w:sz w:val="18"/>
                <w:szCs w:val="18"/>
                <w:color w:val="auto"/>
              </w:rPr>
              <w:t>Calculation</w:t>
            </w:r>
          </w:p>
        </w:tc>
        <w:tc>
          <w:tcPr>
            <w:tcW w:w="146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500" w:type="dxa"/>
            <w:vAlign w:val="bottom"/>
            <w:tcBorders>
              <w:right w:val="single" w:sz="8" w:color="auto"/>
            </w:tcBorders>
            <w:vMerge w:val="restart"/>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Aggregate Offering</w:t>
            </w:r>
          </w:p>
        </w:tc>
        <w:tc>
          <w:tcPr>
            <w:tcW w:w="260" w:type="dxa"/>
            <w:vAlign w:val="bottom"/>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vMerge w:val="restart"/>
          </w:tcPr>
          <w:p>
            <w:pPr>
              <w:jc w:val="right"/>
              <w:ind w:right="270"/>
              <w:spacing w:after="0" w:line="176" w:lineRule="exact"/>
              <w:rPr>
                <w:sz w:val="20"/>
                <w:szCs w:val="20"/>
                <w:color w:val="auto"/>
              </w:rPr>
            </w:pPr>
            <w:r>
              <w:rPr>
                <w:rFonts w:ascii="Times New Roman" w:cs="Times New Roman" w:eastAsia="Times New Roman" w:hAnsi="Times New Roman"/>
                <w:sz w:val="18"/>
                <w:szCs w:val="18"/>
                <w:color w:val="auto"/>
              </w:rPr>
              <w:t>Amount of</w:t>
            </w:r>
          </w:p>
        </w:tc>
        <w:tc>
          <w:tcPr>
            <w:tcW w:w="0" w:type="dxa"/>
            <w:vAlign w:val="bottom"/>
          </w:tcPr>
          <w:p>
            <w:pPr>
              <w:spacing w:after="0"/>
              <w:rPr>
                <w:sz w:val="1"/>
                <w:szCs w:val="1"/>
                <w:color w:val="auto"/>
              </w:rPr>
            </w:pPr>
          </w:p>
        </w:tc>
      </w:tr>
      <w:tr>
        <w:trPr>
          <w:trHeight w:val="59"/>
        </w:trPr>
        <w:tc>
          <w:tcPr>
            <w:tcW w:w="860" w:type="dxa"/>
            <w:vAlign w:val="bottom"/>
            <w:tcBorders>
              <w:left w:val="single" w:sz="8" w:color="auto"/>
              <w:right w:val="single" w:sz="8" w:color="auto"/>
            </w:tcBorders>
            <w:vMerge w:val="continue"/>
          </w:tcPr>
          <w:p>
            <w:pPr>
              <w:spacing w:after="0"/>
              <w:rPr>
                <w:sz w:val="5"/>
                <w:szCs w:val="5"/>
                <w:color w:val="auto"/>
              </w:rPr>
            </w:pPr>
          </w:p>
        </w:tc>
        <w:tc>
          <w:tcPr>
            <w:tcW w:w="2520" w:type="dxa"/>
            <w:vAlign w:val="bottom"/>
            <w:tcBorders>
              <w:right w:val="single" w:sz="8" w:color="auto"/>
            </w:tcBorders>
          </w:tcPr>
          <w:p>
            <w:pPr>
              <w:spacing w:after="0"/>
              <w:rPr>
                <w:sz w:val="5"/>
                <w:szCs w:val="5"/>
                <w:color w:val="auto"/>
              </w:rPr>
            </w:pPr>
          </w:p>
        </w:tc>
        <w:tc>
          <w:tcPr>
            <w:tcW w:w="1100" w:type="dxa"/>
            <w:vAlign w:val="bottom"/>
            <w:tcBorders>
              <w:right w:val="single" w:sz="8" w:color="auto"/>
            </w:tcBorders>
            <w:vMerge w:val="continue"/>
          </w:tcPr>
          <w:p>
            <w:pPr>
              <w:spacing w:after="0"/>
              <w:rPr>
                <w:sz w:val="5"/>
                <w:szCs w:val="5"/>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2"/>
              </w:rPr>
              <w:t>Registered</w:t>
            </w:r>
            <w:r>
              <w:rPr>
                <w:rFonts w:ascii="Times New Roman" w:cs="Times New Roman" w:eastAsia="Times New Roman" w:hAnsi="Times New Roman"/>
                <w:sz w:val="23"/>
                <w:szCs w:val="23"/>
                <w:color w:val="auto"/>
                <w:w w:val="92"/>
                <w:vertAlign w:val="superscript"/>
              </w:rPr>
              <w:t>(1)(2)</w:t>
            </w:r>
          </w:p>
        </w:tc>
        <w:tc>
          <w:tcPr>
            <w:tcW w:w="1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Unit</w:t>
            </w:r>
            <w:r>
              <w:rPr>
                <w:rFonts w:ascii="Times New Roman" w:cs="Times New Roman" w:eastAsia="Times New Roman" w:hAnsi="Times New Roman"/>
                <w:sz w:val="23"/>
                <w:szCs w:val="23"/>
                <w:color w:val="auto"/>
                <w:w w:val="88"/>
                <w:vertAlign w:val="superscript"/>
              </w:rPr>
              <w:t>(3)</w:t>
            </w:r>
          </w:p>
        </w:tc>
        <w:tc>
          <w:tcPr>
            <w:tcW w:w="1500" w:type="dxa"/>
            <w:vAlign w:val="bottom"/>
            <w:tcBorders>
              <w:right w:val="single" w:sz="8" w:color="auto"/>
            </w:tcBorders>
            <w:vMerge w:val="continue"/>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Borders>
              <w:right w:val="single" w:sz="8" w:color="auto"/>
            </w:tcBorders>
          </w:tcPr>
          <w:p>
            <w:pPr>
              <w:spacing w:after="0"/>
              <w:rPr>
                <w:sz w:val="5"/>
                <w:szCs w:val="5"/>
                <w:color w:val="auto"/>
              </w:rPr>
            </w:pPr>
          </w:p>
        </w:tc>
        <w:tc>
          <w:tcPr>
            <w:tcW w:w="14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Type</w:t>
            </w:r>
          </w:p>
        </w:tc>
        <w:tc>
          <w:tcPr>
            <w:tcW w:w="252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Security Class Title</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Rule</w:t>
            </w:r>
          </w:p>
        </w:tc>
        <w:tc>
          <w:tcPr>
            <w:tcW w:w="1460" w:type="dxa"/>
            <w:vAlign w:val="bottom"/>
            <w:tcBorders>
              <w:bottom w:val="single" w:sz="8" w:color="auto"/>
              <w:right w:val="single" w:sz="8" w:color="auto"/>
            </w:tcBorders>
            <w:vMerge w:val="continue"/>
          </w:tcPr>
          <w:p>
            <w:pPr>
              <w:spacing w:after="0"/>
              <w:rPr>
                <w:sz w:val="21"/>
                <w:szCs w:val="21"/>
                <w:color w:val="auto"/>
              </w:rPr>
            </w:pPr>
          </w:p>
        </w:tc>
        <w:tc>
          <w:tcPr>
            <w:tcW w:w="1060" w:type="dxa"/>
            <w:vAlign w:val="bottom"/>
            <w:tcBorders>
              <w:bottom w:val="single" w:sz="8" w:color="auto"/>
              <w:right w:val="single" w:sz="8" w:color="auto"/>
            </w:tcBorders>
            <w:vMerge w:val="continue"/>
          </w:tcPr>
          <w:p>
            <w:pPr>
              <w:spacing w:after="0"/>
              <w:rPr>
                <w:sz w:val="21"/>
                <w:szCs w:val="21"/>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Price</w:t>
            </w: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Fee Rate</w:t>
            </w:r>
          </w:p>
        </w:tc>
        <w:tc>
          <w:tcPr>
            <w:tcW w:w="148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Registration Fee</w:t>
            </w:r>
          </w:p>
        </w:tc>
        <w:tc>
          <w:tcPr>
            <w:tcW w:w="0" w:type="dxa"/>
            <w:vAlign w:val="bottom"/>
          </w:tcPr>
          <w:p>
            <w:pPr>
              <w:spacing w:after="0"/>
              <w:rPr>
                <w:sz w:val="1"/>
                <w:szCs w:val="1"/>
                <w:color w:val="auto"/>
              </w:rPr>
            </w:pPr>
          </w:p>
        </w:tc>
      </w:tr>
      <w:tr>
        <w:trPr>
          <w:trHeight w:val="223"/>
        </w:trPr>
        <w:tc>
          <w:tcPr>
            <w:tcW w:w="86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9"/>
              </w:rPr>
              <w:t>Newly Registered Securities</w:t>
            </w:r>
          </w:p>
        </w:tc>
        <w:tc>
          <w:tcPr>
            <w:tcW w:w="15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86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Equity</w:t>
            </w:r>
          </w:p>
        </w:tc>
        <w:tc>
          <w:tcPr>
            <w:tcW w:w="252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0D0D0D"/>
              </w:rPr>
              <w:t>Common Stock, par value $0.001</w:t>
            </w:r>
          </w:p>
        </w:tc>
        <w:tc>
          <w:tcPr>
            <w:tcW w:w="11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Rule 457(c)</w:t>
            </w:r>
          </w:p>
        </w:tc>
        <w:tc>
          <w:tcPr>
            <w:tcW w:w="1460" w:type="dxa"/>
            <w:vAlign w:val="bottom"/>
            <w:tcBorders>
              <w:righ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750,000</w:t>
            </w:r>
          </w:p>
        </w:tc>
        <w:tc>
          <w:tcPr>
            <w:tcW w:w="1060" w:type="dxa"/>
            <w:vAlign w:val="bottom"/>
            <w:tcBorders>
              <w:righ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$7.19</w:t>
            </w:r>
          </w:p>
        </w:tc>
        <w:tc>
          <w:tcPr>
            <w:tcW w:w="1500" w:type="dxa"/>
            <w:vAlign w:val="bottom"/>
            <w:tcBorders>
              <w:righ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$5,392,500</w:t>
            </w:r>
          </w:p>
        </w:tc>
        <w:tc>
          <w:tcPr>
            <w:tcW w:w="260" w:type="dxa"/>
            <w:vAlign w:val="bottom"/>
          </w:tcPr>
          <w:p>
            <w:pPr>
              <w:spacing w:after="0"/>
              <w:rPr>
                <w:sz w:val="14"/>
                <w:szCs w:val="14"/>
                <w:color w:val="auto"/>
              </w:rPr>
            </w:pPr>
          </w:p>
        </w:tc>
        <w:tc>
          <w:tcPr>
            <w:tcW w:w="1040" w:type="dxa"/>
            <w:vAlign w:val="bottom"/>
            <w:tcBorders>
              <w:righ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0.0001531</w:t>
            </w:r>
          </w:p>
        </w:tc>
        <w:tc>
          <w:tcPr>
            <w:tcW w:w="1480" w:type="dxa"/>
            <w:vAlign w:val="bottom"/>
            <w:tcBorders>
              <w:righ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$825.59</w:t>
            </w:r>
          </w:p>
        </w:tc>
        <w:tc>
          <w:tcPr>
            <w:tcW w:w="0" w:type="dxa"/>
            <w:vAlign w:val="bottom"/>
          </w:tcPr>
          <w:p>
            <w:pPr>
              <w:spacing w:after="0"/>
              <w:rPr>
                <w:sz w:val="1"/>
                <w:szCs w:val="1"/>
                <w:color w:val="auto"/>
              </w:rPr>
            </w:pPr>
          </w:p>
        </w:tc>
      </w:tr>
      <w:tr>
        <w:trPr>
          <w:trHeight w:val="175"/>
        </w:trPr>
        <w:tc>
          <w:tcPr>
            <w:tcW w:w="860" w:type="dxa"/>
            <w:vAlign w:val="bottom"/>
            <w:tcBorders>
              <w:left w:val="single" w:sz="8" w:color="auto"/>
              <w:right w:val="single" w:sz="8" w:color="auto"/>
            </w:tcBorders>
          </w:tcPr>
          <w:p>
            <w:pPr>
              <w:spacing w:after="0"/>
              <w:rPr>
                <w:sz w:val="15"/>
                <w:szCs w:val="15"/>
                <w:color w:val="auto"/>
              </w:rPr>
            </w:pPr>
          </w:p>
        </w:tc>
        <w:tc>
          <w:tcPr>
            <w:tcW w:w="252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0D0D0D"/>
              </w:rPr>
              <w:t>per share</w:t>
            </w:r>
          </w:p>
        </w:tc>
        <w:tc>
          <w:tcPr>
            <w:tcW w:w="110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and Rule</w:t>
            </w:r>
          </w:p>
        </w:tc>
        <w:tc>
          <w:tcPr>
            <w:tcW w:w="146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860" w:type="dxa"/>
            <w:vAlign w:val="bottom"/>
            <w:tcBorders>
              <w:left w:val="single" w:sz="8" w:color="auto"/>
              <w:bottom w:val="single" w:sz="8" w:color="auto"/>
              <w:right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457(h)</w:t>
            </w:r>
          </w:p>
        </w:tc>
        <w:tc>
          <w:tcPr>
            <w:tcW w:w="146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8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Offering Amount:</w:t>
            </w:r>
          </w:p>
        </w:tc>
        <w:tc>
          <w:tcPr>
            <w:tcW w:w="1040" w:type="dxa"/>
            <w:vAlign w:val="bottom"/>
            <w:tcBorders>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$825.59</w:t>
            </w: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Fee Offsets:</w:t>
            </w:r>
          </w:p>
        </w:tc>
        <w:tc>
          <w:tcPr>
            <w:tcW w:w="1040" w:type="dxa"/>
            <w:vAlign w:val="bottom"/>
            <w:tcBorders>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Fee Due:</w:t>
            </w:r>
          </w:p>
        </w:tc>
        <w:tc>
          <w:tcPr>
            <w:tcW w:w="1040" w:type="dxa"/>
            <w:vAlign w:val="bottom"/>
            <w:tcBorders>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$825.59</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660" w:right="200" w:hanging="328"/>
        <w:spacing w:after="0" w:line="252" w:lineRule="auto"/>
        <w:tabs>
          <w:tab w:leader="none" w:pos="64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0D0D0D"/>
        </w:rPr>
        <w:t>Pursuant to Rule 416(a) under the Securities Act of 1933, as amended (the “Securities Act”), the registration statement on Form S-8 shall also cover any additional shares of the common stock of Lifecore Biomedical, Inc. (the “Registrant”) that become issuable in respect of the securities identified in the above table by reason of any stock dividend, stock split, recapitalization or other similar transaction effected without the Registrant’s receipt of consideration that results in an increase in the number of the outstanding shares of the Registrant’s common stock.</w:t>
      </w:r>
    </w:p>
    <w:p>
      <w:pPr>
        <w:spacing w:after="0" w:line="2" w:lineRule="exact"/>
        <w:rPr>
          <w:rFonts w:ascii="Times New Roman" w:cs="Times New Roman" w:eastAsia="Times New Roman" w:hAnsi="Times New Roman"/>
          <w:sz w:val="20"/>
          <w:szCs w:val="20"/>
          <w:color w:val="auto"/>
        </w:rPr>
      </w:pPr>
    </w:p>
    <w:p>
      <w:pPr>
        <w:ind w:left="660" w:right="100" w:hanging="328"/>
        <w:spacing w:after="0" w:line="237" w:lineRule="auto"/>
        <w:tabs>
          <w:tab w:leader="none" w:pos="64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0D0D0D"/>
        </w:rPr>
        <w:t>Represents 750,000 shares of the Registrant’s common stock reserved under the Registrant’s Equity Inducement Plan adopted on March 20, 2024, as amended by a First Amendment dated April 11, 2025.</w:t>
      </w:r>
    </w:p>
    <w:p>
      <w:pPr>
        <w:spacing w:after="0" w:line="49" w:lineRule="exact"/>
        <w:rPr>
          <w:rFonts w:ascii="Times New Roman" w:cs="Times New Roman" w:eastAsia="Times New Roman" w:hAnsi="Times New Roman"/>
          <w:sz w:val="20"/>
          <w:szCs w:val="20"/>
          <w:color w:val="auto"/>
        </w:rPr>
      </w:pPr>
    </w:p>
    <w:p>
      <w:pPr>
        <w:ind w:left="660" w:right="160" w:hanging="328"/>
        <w:spacing w:after="0" w:line="255" w:lineRule="auto"/>
        <w:tabs>
          <w:tab w:leader="none" w:pos="64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0D0D0D"/>
        </w:rPr>
        <w:t xml:space="preserve">Estimated solely for the purpose of calculating the registration fee and computed in accordance with Rule 457(c) and (h) under the Securities Act using the average of the high and low sale prices of the common stock on </w:t>
      </w:r>
      <w:r>
        <w:rPr>
          <w:rFonts w:ascii="Times New Roman" w:cs="Times New Roman" w:eastAsia="Times New Roman" w:hAnsi="Times New Roman"/>
          <w:sz w:val="18"/>
          <w:szCs w:val="18"/>
          <w:color w:val="000000"/>
        </w:rPr>
        <w:t>August 4, 2025</w:t>
      </w:r>
      <w:r>
        <w:rPr>
          <w:rFonts w:ascii="Times New Roman" w:cs="Times New Roman" w:eastAsia="Times New Roman" w:hAnsi="Times New Roman"/>
          <w:sz w:val="18"/>
          <w:szCs w:val="18"/>
          <w:color w:val="0D0D0D"/>
        </w:rPr>
        <w:t>, as reported on The Nasdaq Global Select Market.</w:t>
      </w:r>
    </w:p>
    <w:p>
      <w:pPr>
        <w:sectPr>
          <w:pgSz w:w="11900" w:h="16838" w:orient="portrait"/>
          <w:cols w:equalWidth="0" w:num="1">
            <w:col w:w="11260"/>
          </w:cols>
          <w:pgMar w:left="320" w:top="114" w:right="31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1280160</wp:posOffset>
            </wp:positionV>
            <wp:extent cx="1594485" cy="257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59448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2000 IDS Center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80 South 8th Street</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Minneapolis, MN 55402-2119</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Tel: 612.371.3211</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Fax: 612.271.3207</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www.ballardspahr.com</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Exhibit 5.1</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August 7,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Lifecore Biomedical,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3515 Lyman Boulevard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Chaska, Minnesota 55318</w:t>
      </w:r>
    </w:p>
    <w:p>
      <w:pPr>
        <w:spacing w:after="0" w:line="23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RE:</w:t>
      </w:r>
      <w:r>
        <w:rPr>
          <w:sz w:val="20"/>
          <w:szCs w:val="20"/>
          <w:color w:val="auto"/>
        </w:rPr>
        <w:tab/>
      </w:r>
      <w:r>
        <w:rPr>
          <w:rFonts w:ascii="Times New Roman" w:cs="Times New Roman" w:eastAsia="Times New Roman" w:hAnsi="Times New Roman"/>
          <w:sz w:val="19"/>
          <w:szCs w:val="19"/>
          <w:u w:val="single" w:color="auto"/>
          <w:color w:val="auto"/>
        </w:rPr>
        <w:t>Lifecore Biomedical, Inc. Equity Inducement Plan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9"/>
          <w:szCs w:val="19"/>
          <w:color w:val="auto"/>
        </w:rPr>
        <w:t>We have acted as counsel to Lifecore Biomedical, Inc., a Delaware corporation (the “Company”), in connection with the registration by the Company under the Securities Act of 1933 (the “Act”) of 750,000 shares of the Company’s common stock, par value $0.001 per share (the “Shares”), pursuant to the Registration Statement on Form S-8 filed with the Securities and Exchange Commission (the “Commission”) on the date hereof (such registration statement, as amended to the date hereof, is herein referred to as the “Registration Statement”). The Shares may be offered and sold under the Lifecore Biomedical, Inc. Equity Inducement Plan, as amended effective April 11, 2025 (the “Plan”).</w:t>
      </w:r>
    </w:p>
    <w:p>
      <w:pPr>
        <w:spacing w:after="0" w:line="203" w:lineRule="exact"/>
        <w:rPr>
          <w:sz w:val="20"/>
          <w:szCs w:val="20"/>
          <w:color w:val="auto"/>
        </w:rPr>
      </w:pPr>
    </w:p>
    <w:p>
      <w:pPr>
        <w:ind w:right="140"/>
        <w:spacing w:after="0" w:line="234" w:lineRule="auto"/>
        <w:rPr>
          <w:sz w:val="20"/>
          <w:szCs w:val="20"/>
          <w:color w:val="auto"/>
        </w:rPr>
      </w:pPr>
      <w:r>
        <w:rPr>
          <w:rFonts w:ascii="Times New Roman" w:cs="Times New Roman" w:eastAsia="Times New Roman" w:hAnsi="Times New Roman"/>
          <w:sz w:val="20"/>
          <w:szCs w:val="20"/>
          <w:color w:val="auto"/>
        </w:rPr>
        <w:t>In connection with this opinion, we have examined originals or copies, certified or otherwise identified to our satisfaction, of (i) the Registration Statement and all exhibits thereto, (ii) the Certificate of Incorporation, as amended, of the Company as currently in effect, (iii) the Amended and Restated Bylaws, as amended, of the Company as currently in effect, (iv) the Plan, and (v) such corporate records, agreements, documents and other instruments, and such certificates or comparable documents of public officials and officers and representatives of the Company, and have made such inquiries of such officers and representatives and have considered such matters of law as we have deemed appropriate as the basis for the opinions hereinafter set forth. As to facts material to this opinion letter, we have relied upon certificates, statements or representations of public officials, of officers and representatives of the Company and of others, without any independent verification thereof.</w:t>
      </w:r>
    </w:p>
    <w:p>
      <w:pPr>
        <w:spacing w:after="0" w:line="218" w:lineRule="exact"/>
        <w:rPr>
          <w:sz w:val="20"/>
          <w:szCs w:val="20"/>
          <w:color w:val="auto"/>
        </w:rPr>
      </w:pPr>
    </w:p>
    <w:p>
      <w:pPr>
        <w:ind w:right="300"/>
        <w:spacing w:after="0" w:line="239" w:lineRule="auto"/>
        <w:rPr>
          <w:sz w:val="20"/>
          <w:szCs w:val="20"/>
          <w:color w:val="auto"/>
        </w:rPr>
      </w:pPr>
      <w:r>
        <w:rPr>
          <w:rFonts w:ascii="Times New Roman" w:cs="Times New Roman" w:eastAsia="Times New Roman" w:hAnsi="Times New Roman"/>
          <w:sz w:val="20"/>
          <w:szCs w:val="20"/>
          <w:color w:val="auto"/>
        </w:rPr>
        <w:t>In rendering this opinion, we have assumed the genuineness of all signatures, the legal capacity of natural persons, the authenticity of all documents submitted to us as originals, the conformity to originals of all documents submitted to us as certified, photostatic or conformed copies, the authenticity of originals of all such latter documents, and the accuracy and completeness of all records, information and statements submitted to us by officers and representatives of the Company.</w:t>
      </w:r>
    </w:p>
    <w:p>
      <w:pPr>
        <w:sectPr>
          <w:pgSz w:w="11900" w:h="16838" w:orient="portrait"/>
          <w:cols w:equalWidth="0" w:num="1">
            <w:col w:w="11240"/>
          </w:cols>
          <w:pgMar w:left="320" w:top="144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color w:val="auto"/>
        </w:rPr>
        <w:t>Lifecore Biomedical, Inc.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August 7, 2025</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20"/>
          <w:szCs w:val="20"/>
          <w:color w:val="auto"/>
        </w:rPr>
        <w:t>The opinion expressed below is based on the assumption that the Registration Statement has been filed by the Company with the Commission and will have become effective before any of the Shares are issued, and that persons acquiring the Shares will do so strictly in accordance with the terms of the Plan and will receive a prospectus containing all the information required by Part I of the Registration Statement before acquiring such Shares. The opinion is also based on the assumption that the Shares will continue to be duly and validly authorized on the dates that the Shares are issued to participants pursuant to the terms of the Plan and, upon the issuance of any of the Shares, the total number of shares of common stock of the Company issued and outstanding, after giving effect to such issuance of such Shares, will not exceed the total number of shares of common stock that the Company is then authorized to issue under its Certificate of Incorporation, as amended. We have also assumed that the Company’s board of directors, or a duly authorized committee thereof, will have approved the issuance of each award under the Plan prior to the issuance thereof and that the Shares will be issued for legal consideration in excess of par value.</w:t>
      </w:r>
    </w:p>
    <w:p>
      <w:pPr>
        <w:spacing w:after="0" w:line="205" w:lineRule="exact"/>
        <w:rPr>
          <w:sz w:val="20"/>
          <w:szCs w:val="20"/>
          <w:color w:val="auto"/>
        </w:rPr>
      </w:pPr>
    </w:p>
    <w:p>
      <w:pPr>
        <w:ind w:right="240"/>
        <w:spacing w:after="0" w:line="239" w:lineRule="auto"/>
        <w:rPr>
          <w:sz w:val="20"/>
          <w:szCs w:val="20"/>
          <w:color w:val="auto"/>
        </w:rPr>
      </w:pPr>
      <w:r>
        <w:rPr>
          <w:rFonts w:ascii="Times New Roman" w:cs="Times New Roman" w:eastAsia="Times New Roman" w:hAnsi="Times New Roman"/>
          <w:sz w:val="20"/>
          <w:szCs w:val="20"/>
          <w:color w:val="auto"/>
        </w:rPr>
        <w:t>Based upon the foregoing, and subject to the qualifications, assumptions and limitations stated herein, we are of the opinion that (a) the Shares to be issued under the Plan are duly authorized and (b) the Shares, when issued pursuant to the Plan and any applicable award agreement in accordance with the terms and conditions thereof (including, where applicable, the payment of any exercise price, the satisfaction of any vesting or forfeiture restrictions and the achievement of applicable performance goals), will be legally issued, fully paid and non-assessable.</w:t>
      </w:r>
    </w:p>
    <w:p>
      <w:pPr>
        <w:spacing w:after="0" w:line="205" w:lineRule="exact"/>
        <w:rPr>
          <w:sz w:val="20"/>
          <w:szCs w:val="20"/>
          <w:color w:val="auto"/>
        </w:rPr>
      </w:pPr>
    </w:p>
    <w:p>
      <w:pPr>
        <w:ind w:right="540"/>
        <w:spacing w:after="0" w:line="269" w:lineRule="auto"/>
        <w:rPr>
          <w:sz w:val="20"/>
          <w:szCs w:val="20"/>
          <w:color w:val="auto"/>
        </w:rPr>
      </w:pPr>
      <w:r>
        <w:rPr>
          <w:rFonts w:ascii="Times New Roman" w:cs="Times New Roman" w:eastAsia="Times New Roman" w:hAnsi="Times New Roman"/>
          <w:sz w:val="20"/>
          <w:szCs w:val="20"/>
          <w:color w:val="auto"/>
        </w:rPr>
        <w:t>Our opinion is limited to the laws of the General Corporation Law of the State of Delaware and the federal laws of the United States of America, and we express no opinion with respect to the laws of any other jurisdiction.</w:t>
      </w:r>
    </w:p>
    <w:p>
      <w:pPr>
        <w:spacing w:after="0" w:line="17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We hereby consent to the filing of this opinion with the Commission as an exhibit to the Registration Statement in accordance with the requirements of Item 601(b)(5) of Regulation S-K promulgated under the Securities Act. In giving such consent, we do not hereby admit that we are in the category of persons whose consent is required under Section 7 of the Securities Act or the rules and regulations of the Commission.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Sincerely,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Ballard Spahr LLP</w:t>
      </w:r>
    </w:p>
    <w:p>
      <w:pPr>
        <w:sectPr>
          <w:pgSz w:w="11900" w:h="16838" w:orient="portrait"/>
          <w:cols w:equalWidth="0" w:num="1">
            <w:col w:w="11240"/>
          </w:cols>
          <w:pgMar w:left="320" w:top="900"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20"/>
          <w:szCs w:val="20"/>
          <w:b w:val="1"/>
          <w:bCs w:val="1"/>
          <w:color w:val="auto"/>
        </w:rPr>
        <w:t>Exhibit 23.2</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Consent of Independent Registered Public Accounting Firm</w:t>
      </w:r>
    </w:p>
    <w:p>
      <w:pPr>
        <w:spacing w:after="0" w:line="22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We hereby consent to the incorporation by reference in this Registration Statement of our report dated August 7, 2025, relating to the consolidated financial statements and the effectiveness of internal control over financial reporting, of Lifecore Biomedical, Inc. (the Company) appearing in the Company’s Annual Report on Form 10-K for the year ended May 25, 2025. Our report on the effectiveness of internal control over financial reporting expresses an adverse opinion on the effectiveness of the Company’s internal control over financial reporting as of May 25, 2025.</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BDO USA, P.C.</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Minneapolis, Minnesota</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August 7, 2025</w:t>
      </w:r>
    </w:p>
    <w:sectPr>
      <w:pgSz w:w="11900" w:h="16838" w:orient="portrait"/>
      <w:cols w:equalWidth="0" w:num="1">
        <w:col w:w="11240"/>
      </w:cols>
      <w:pgMar w:left="320" w:top="90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Letter"/>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3D1B58BA"/>
    <w:multiLevelType w:val="hybridMultilevel"/>
    <w:lvl w:ilvl="0">
      <w:lvlJc w:val="left"/>
      <w:lvlText w:val="(%1)"/>
      <w:numFmt w:val="decimal"/>
      <w:start w:val="2"/>
    </w:lvl>
  </w:abstractNum>
  <w:abstractNum w:abstractNumId="4">
    <w:nsid w:val="507ED7AB"/>
    <w:multiLevelType w:val="hybridMultilevel"/>
    <w:lvl w:ilvl="0">
      <w:lvlJc w:val="left"/>
      <w:lvlText w:val="%1"/>
      <w:numFmt w:val="lowerLetter"/>
      <w:start w:val="1"/>
    </w:lvl>
    <w:lvl w:ilvl="1">
      <w:lvlJc w:val="left"/>
      <w:lvlText w:val="(%2)"/>
      <w:numFmt w:val="decimal"/>
      <w:start w:val="3"/>
    </w:lvl>
  </w:abstractNum>
  <w:abstractNum w:abstractNumId="5">
    <w:nsid w:val="2EB141F2"/>
    <w:multiLevelType w:val="hybridMultilevel"/>
    <w:lvl w:ilvl="0">
      <w:lvlJc w:val="left"/>
      <w:lvlText w:val="(%1)"/>
      <w:numFmt w:val="lowerLetter"/>
      <w:start w:val="2"/>
    </w:lvl>
    <w:lvl w:ilvl="1">
      <w:lvlJc w:val="left"/>
      <w:lvlText w:val="%2"/>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23" Type="http://schemas.openxmlformats.org/officeDocument/2006/relationships/image" Target="media/image3.png"/><Relationship Id="rId24" Type="http://schemas.openxmlformats.org/officeDocument/2006/relationships/image" Target="media/image4.jpeg"/><Relationship Id="rId9" Type="http://schemas.openxmlformats.org/officeDocument/2006/relationships/hyperlink" Target="https://www.sec.gov/ix?doc=/Archives/edgar/data/0001005286/000100528625000108/lfcr-20250525.htm" TargetMode="External"/><Relationship Id="rId10" Type="http://schemas.openxmlformats.org/officeDocument/2006/relationships/hyperlink" Target="https://www.sec.gov/ix?doc=/Archives/edgar/data/0001005286/000100528625000097/lndc-20250715.htm" TargetMode="External"/><Relationship Id="rId12" Type="http://schemas.openxmlformats.org/officeDocument/2006/relationships/hyperlink" Target="https://www.sec.gov/Archives/edgar/data/1005286/000115752308009084/a5824739ex3-1.htm" TargetMode="External"/><Relationship Id="rId13" Type="http://schemas.openxmlformats.org/officeDocument/2006/relationships/hyperlink" Target="https://www.sec.gov/Archives/edgar/data/1005286/000100528622000080/a31.htm" TargetMode="External"/><Relationship Id="rId14" Type="http://schemas.openxmlformats.org/officeDocument/2006/relationships/hyperlink" Target="https://www.sec.gov/Archives/edgar/data/1005286/000100528624000119/exhibit31-lfcrxcharteramen.htm" TargetMode="External"/><Relationship Id="rId15" Type="http://schemas.openxmlformats.org/officeDocument/2006/relationships/hyperlink" Target="https://www.sec.gov/Archives/edgar/data/1005286/000143774912010333/ex3-1.htm" TargetMode="External"/><Relationship Id="rId16" Type="http://schemas.openxmlformats.org/officeDocument/2006/relationships/hyperlink" Target="https://www.sec.gov/Archives/edgar/data/1005286/000162828019005963/ex-31.htm" TargetMode="External"/><Relationship Id="rId17" Type="http://schemas.openxmlformats.org/officeDocument/2006/relationships/hyperlink" Target="https://www.sec.gov/Archives/edgar/data/1005286/000162828019007183/ex-31.htm" TargetMode="External"/><Relationship Id="rId18" Type="http://schemas.openxmlformats.org/officeDocument/2006/relationships/hyperlink" Target="https://www.sec.gov/Archives/edgar/data/1005286/000100528620000022/amendmentno3toby-lawso.htm" TargetMode="External"/><Relationship Id="rId19" Type="http://schemas.openxmlformats.org/officeDocument/2006/relationships/hyperlink" Target="https://www.sec.gov/Archives/edgar/data/1005286/000100528622000080/a32.htm" TargetMode="External"/><Relationship Id="rId20" Type="http://schemas.openxmlformats.org/officeDocument/2006/relationships/hyperlink" Target="https://www.sec.gov/Archives/edgar/data/1005286/000100528623000015/a31.htm" TargetMode="External"/><Relationship Id="rId21" Type="http://schemas.openxmlformats.org/officeDocument/2006/relationships/hyperlink" Target="https://www.sec.gov/Archives/edgar/data/1005286/000100528624000036/a102-lifecoreequityinducem.htm" TargetMode="External"/><Relationship Id="rId22" Type="http://schemas.openxmlformats.org/officeDocument/2006/relationships/hyperlink" Target="https://www.sec.gov/Archives/edgar/data/1005286/000100528625000072/aex1012025x04x16amendment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2025-08-07T15:59:09Z</dcterms:created>
  <dcterms:modified xsi:type="dcterms:W3CDTF">2025-08-07T15:59:09Z</dcterms:modified>
</cp:coreProperties>
</file>