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12b-25</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NOTIFICATION OF LATE FILING</w:t>
      </w:r>
    </w:p>
    <w:p>
      <w:pPr>
        <w:spacing w:after="0" w:line="216"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(CHECK ONE):</w:t>
            </w:r>
          </w:p>
        </w:tc>
        <w:tc>
          <w:tcPr>
            <w:tcW w:w="1700" w:type="dxa"/>
            <w:vAlign w:val="bottom"/>
            <w:gridSpan w:val="2"/>
          </w:tcPr>
          <w:p>
            <w:pPr>
              <w:ind w:left="220"/>
              <w:spacing w:after="0"/>
              <w:rPr>
                <w:sz w:val="20"/>
                <w:szCs w:val="20"/>
                <w:color w:val="auto"/>
              </w:rPr>
            </w:pPr>
            <w:r>
              <w:rPr>
                <w:rFonts w:ascii="Arial" w:cs="Arial" w:eastAsia="Arial" w:hAnsi="Arial"/>
                <w:sz w:val="18"/>
                <w:szCs w:val="18"/>
                <w:color w:val="auto"/>
              </w:rPr>
              <w:t>[ ] Form 10-K</w:t>
            </w:r>
          </w:p>
        </w:tc>
        <w:tc>
          <w:tcPr>
            <w:tcW w:w="1880" w:type="dxa"/>
            <w:vAlign w:val="bottom"/>
          </w:tcPr>
          <w:p>
            <w:pPr>
              <w:ind w:left="420"/>
              <w:spacing w:after="0"/>
              <w:rPr>
                <w:sz w:val="20"/>
                <w:szCs w:val="20"/>
                <w:color w:val="auto"/>
              </w:rPr>
            </w:pPr>
            <w:r>
              <w:rPr>
                <w:rFonts w:ascii="Arial" w:cs="Arial" w:eastAsia="Arial" w:hAnsi="Arial"/>
                <w:sz w:val="18"/>
                <w:szCs w:val="18"/>
                <w:color w:val="auto"/>
              </w:rPr>
              <w:t>[ ] Form 20-F</w:t>
            </w:r>
          </w:p>
        </w:tc>
        <w:tc>
          <w:tcPr>
            <w:tcW w:w="1900" w:type="dxa"/>
            <w:vAlign w:val="bottom"/>
          </w:tcPr>
          <w:p>
            <w:pPr>
              <w:ind w:left="420"/>
              <w:spacing w:after="0"/>
              <w:rPr>
                <w:sz w:val="20"/>
                <w:szCs w:val="20"/>
                <w:color w:val="auto"/>
              </w:rPr>
            </w:pPr>
            <w:r>
              <w:rPr>
                <w:rFonts w:ascii="Arial" w:cs="Arial" w:eastAsia="Arial" w:hAnsi="Arial"/>
                <w:sz w:val="18"/>
                <w:szCs w:val="18"/>
                <w:color w:val="auto"/>
              </w:rPr>
              <w:t>[ ] Form 11-K</w:t>
            </w:r>
          </w:p>
        </w:tc>
        <w:tc>
          <w:tcPr>
            <w:tcW w:w="1980" w:type="dxa"/>
            <w:vAlign w:val="bottom"/>
          </w:tcPr>
          <w:p>
            <w:pPr>
              <w:ind w:left="440"/>
              <w:spacing w:after="0"/>
              <w:rPr>
                <w:sz w:val="20"/>
                <w:szCs w:val="20"/>
                <w:color w:val="auto"/>
              </w:rPr>
            </w:pPr>
            <w:r>
              <w:rPr>
                <w:rFonts w:ascii="Arial" w:cs="Arial" w:eastAsia="Arial" w:hAnsi="Arial"/>
                <w:sz w:val="18"/>
                <w:szCs w:val="18"/>
                <w:color w:val="auto"/>
              </w:rPr>
              <w:t>[X] Form 10-Q</w:t>
            </w:r>
          </w:p>
        </w:tc>
        <w:tc>
          <w:tcPr>
            <w:tcW w:w="2320" w:type="dxa"/>
            <w:vAlign w:val="bottom"/>
          </w:tcPr>
          <w:p>
            <w:pPr>
              <w:ind w:left="440"/>
              <w:spacing w:after="0"/>
              <w:rPr>
                <w:sz w:val="20"/>
                <w:szCs w:val="20"/>
                <w:color w:val="auto"/>
              </w:rPr>
            </w:pPr>
            <w:r>
              <w:rPr>
                <w:rFonts w:ascii="Arial" w:cs="Arial" w:eastAsia="Arial" w:hAnsi="Arial"/>
                <w:sz w:val="18"/>
                <w:szCs w:val="18"/>
                <w:color w:val="auto"/>
              </w:rPr>
              <w:t>[ ] Form N-SAR</w:t>
            </w:r>
          </w:p>
        </w:tc>
      </w:tr>
      <w:tr>
        <w:trPr>
          <w:trHeight w:val="540"/>
        </w:trPr>
        <w:tc>
          <w:tcPr>
            <w:tcW w:w="2460" w:type="dxa"/>
            <w:vAlign w:val="bottom"/>
            <w:gridSpan w:val="2"/>
          </w:tcPr>
          <w:p>
            <w:pPr>
              <w:ind w:left="520"/>
              <w:spacing w:after="0"/>
              <w:rPr>
                <w:sz w:val="20"/>
                <w:szCs w:val="20"/>
                <w:color w:val="auto"/>
              </w:rPr>
            </w:pPr>
            <w:r>
              <w:rPr>
                <w:rFonts w:ascii="Arial" w:cs="Arial" w:eastAsia="Arial" w:hAnsi="Arial"/>
                <w:sz w:val="18"/>
                <w:szCs w:val="18"/>
                <w:color w:val="auto"/>
              </w:rPr>
              <w:t>For Period Ended:</w:t>
            </w:r>
          </w:p>
        </w:tc>
        <w:tc>
          <w:tcPr>
            <w:tcW w:w="25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February 26, 2023</w:t>
            </w:r>
          </w:p>
        </w:tc>
        <w:tc>
          <w:tcPr>
            <w:tcW w:w="19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r>
    </w:tbl>
    <w:p>
      <w:pPr>
        <w:spacing w:after="0" w:line="310" w:lineRule="exact"/>
        <w:rPr>
          <w:sz w:val="24"/>
          <w:szCs w:val="24"/>
          <w:color w:val="auto"/>
        </w:rPr>
      </w:pPr>
    </w:p>
    <w:p>
      <w:pPr>
        <w:ind w:left="1920" w:hanging="153"/>
        <w:spacing w:after="0"/>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Transition Report on Form 10-K</w:t>
      </w:r>
    </w:p>
    <w:p>
      <w:pPr>
        <w:spacing w:after="0" w:line="23" w:lineRule="exact"/>
        <w:rPr>
          <w:rFonts w:ascii="Arial" w:cs="Arial" w:eastAsia="Arial" w:hAnsi="Arial"/>
          <w:sz w:val="18"/>
          <w:szCs w:val="18"/>
          <w:color w:val="auto"/>
        </w:rPr>
      </w:pPr>
    </w:p>
    <w:p>
      <w:pPr>
        <w:ind w:left="1920" w:hanging="153"/>
        <w:spacing w:after="0"/>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Transition Report on Form 20-F</w:t>
      </w:r>
    </w:p>
    <w:p>
      <w:pPr>
        <w:spacing w:after="0" w:line="22" w:lineRule="exact"/>
        <w:rPr>
          <w:rFonts w:ascii="Arial" w:cs="Arial" w:eastAsia="Arial" w:hAnsi="Arial"/>
          <w:sz w:val="18"/>
          <w:szCs w:val="18"/>
          <w:color w:val="auto"/>
        </w:rPr>
      </w:pPr>
    </w:p>
    <w:p>
      <w:pPr>
        <w:ind w:left="1920" w:hanging="153"/>
        <w:spacing w:after="0"/>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Transition Report on Form 11-K</w:t>
      </w:r>
    </w:p>
    <w:p>
      <w:pPr>
        <w:spacing w:after="0" w:line="22" w:lineRule="exact"/>
        <w:rPr>
          <w:rFonts w:ascii="Arial" w:cs="Arial" w:eastAsia="Arial" w:hAnsi="Arial"/>
          <w:sz w:val="18"/>
          <w:szCs w:val="18"/>
          <w:color w:val="auto"/>
        </w:rPr>
      </w:pPr>
    </w:p>
    <w:p>
      <w:pPr>
        <w:ind w:left="1920" w:hanging="153"/>
        <w:spacing w:after="0"/>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Transition Report on Form 10-Q</w:t>
      </w:r>
    </w:p>
    <w:p>
      <w:pPr>
        <w:spacing w:after="0" w:line="22" w:lineRule="exact"/>
        <w:rPr>
          <w:rFonts w:ascii="Arial" w:cs="Arial" w:eastAsia="Arial" w:hAnsi="Arial"/>
          <w:sz w:val="18"/>
          <w:szCs w:val="18"/>
          <w:color w:val="auto"/>
        </w:rPr>
      </w:pPr>
    </w:p>
    <w:p>
      <w:pPr>
        <w:ind w:left="1760" w:right="6440" w:firstLine="7"/>
        <w:spacing w:after="0" w:line="292" w:lineRule="auto"/>
        <w:tabs>
          <w:tab w:leader="none" w:pos="1910"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on Form N-SAR For the Transaction Period Ended:</w:t>
      </w:r>
    </w:p>
    <w:p>
      <w:pPr>
        <w:spacing w:after="0" w:line="193" w:lineRule="exact"/>
        <w:rPr>
          <w:sz w:val="24"/>
          <w:szCs w:val="24"/>
          <w:color w:val="auto"/>
        </w:rPr>
      </w:pPr>
    </w:p>
    <w:p>
      <w:pPr>
        <w:ind w:left="1700"/>
        <w:spacing w:after="0"/>
        <w:rPr>
          <w:sz w:val="20"/>
          <w:szCs w:val="20"/>
          <w:color w:val="auto"/>
        </w:rPr>
      </w:pPr>
      <w:r>
        <w:rPr>
          <w:rFonts w:ascii="Arial" w:cs="Arial" w:eastAsia="Arial" w:hAnsi="Arial"/>
          <w:sz w:val="18"/>
          <w:szCs w:val="18"/>
          <w:b w:val="1"/>
          <w:bCs w:val="1"/>
          <w:i w:val="1"/>
          <w:iCs w:val="1"/>
          <w:color w:val="auto"/>
        </w:rPr>
        <w:t xml:space="preserve">READ INSTRUCTION (ON BACK PAGE) BEFORE PREPARING FORM. PLEASE PRINT OR TYPE </w:t>
      </w:r>
      <w:r>
        <w:rPr>
          <w:rFonts w:ascii="Arial" w:cs="Arial" w:eastAsia="Arial" w:hAnsi="Arial"/>
          <w:sz w:val="18"/>
          <w:szCs w:val="18"/>
          <w:b w:val="1"/>
          <w:bCs w:val="1"/>
          <w:color w:val="auto"/>
        </w:rPr>
        <w:t>.</w:t>
      </w:r>
    </w:p>
    <w:p>
      <w:pPr>
        <w:ind w:left="320"/>
        <w:spacing w:after="0" w:line="205" w:lineRule="auto"/>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w:t>
      </w:r>
    </w:p>
    <w:p>
      <w:pPr>
        <w:spacing w:after="0" w:line="1"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CONTAINED HEREIN.</w:t>
      </w:r>
    </w:p>
    <w:p>
      <w:pPr>
        <w:spacing w:after="0" w:line="142"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Lifecore Biomedical,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ind w:left="20"/>
        <w:spacing w:after="0"/>
        <w:rPr>
          <w:sz w:val="20"/>
          <w:szCs w:val="20"/>
          <w:color w:val="auto"/>
        </w:rPr>
      </w:pPr>
      <w:r>
        <w:rPr>
          <w:rFonts w:ascii="Arial" w:cs="Arial" w:eastAsia="Arial" w:hAnsi="Arial"/>
          <w:sz w:val="18"/>
          <w:szCs w:val="18"/>
          <w:color w:val="auto"/>
        </w:rPr>
        <w:t>Full Name of Registrant</w:t>
      </w:r>
    </w:p>
    <w:p>
      <w:pPr>
        <w:spacing w:after="0" w:line="248"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Landec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p>
    <w:p>
      <w:pPr>
        <w:ind w:left="20"/>
        <w:spacing w:after="0"/>
        <w:rPr>
          <w:sz w:val="20"/>
          <w:szCs w:val="20"/>
          <w:color w:val="auto"/>
        </w:rPr>
      </w:pPr>
      <w:r>
        <w:rPr>
          <w:rFonts w:ascii="Arial" w:cs="Arial" w:eastAsia="Arial" w:hAnsi="Arial"/>
          <w:sz w:val="18"/>
          <w:szCs w:val="18"/>
          <w:color w:val="auto"/>
        </w:rPr>
        <w:t>Former Name if Applicable</w:t>
      </w:r>
    </w:p>
    <w:p>
      <w:pPr>
        <w:spacing w:after="0" w:line="248"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3515 Lyman Boulevard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ind w:left="20"/>
        <w:spacing w:after="0"/>
        <w:rPr>
          <w:sz w:val="20"/>
          <w:szCs w:val="20"/>
          <w:color w:val="auto"/>
        </w:rPr>
      </w:pPr>
      <w:r>
        <w:rPr>
          <w:rFonts w:ascii="Arial" w:cs="Arial" w:eastAsia="Arial" w:hAnsi="Arial"/>
          <w:sz w:val="18"/>
          <w:szCs w:val="18"/>
          <w:color w:val="auto"/>
        </w:rPr>
        <w:t>Address of Principal Executive Office (Street and Number)</w:t>
      </w:r>
    </w:p>
    <w:p>
      <w:pPr>
        <w:spacing w:after="0" w:line="248"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Chaska, Minnesota 55318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ind w:left="20"/>
        <w:spacing w:after="0"/>
        <w:rPr>
          <w:sz w:val="20"/>
          <w:szCs w:val="20"/>
          <w:color w:val="auto"/>
        </w:rPr>
      </w:pPr>
      <w:r>
        <w:rPr>
          <w:rFonts w:ascii="Arial" w:cs="Arial" w:eastAsia="Arial" w:hAnsi="Arial"/>
          <w:sz w:val="18"/>
          <w:szCs w:val="18"/>
          <w:color w:val="auto"/>
        </w:rPr>
        <w:t>City, State and Zip Code</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II - RULES 12b-25(b) AND (c)</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2" w:lineRule="exact"/>
        <w:rPr>
          <w:sz w:val="20"/>
          <w:szCs w:val="20"/>
          <w:color w:val="auto"/>
        </w:rPr>
      </w:pPr>
    </w:p>
    <w:p>
      <w:pPr>
        <w:ind w:left="840" w:hanging="560"/>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The reasons described in reasonable detail in Part III of this form could not be eliminated without unreasonable effort or expense;</w:t>
      </w:r>
    </w:p>
    <w:p>
      <w:pPr>
        <w:sectPr>
          <w:pgSz w:w="11900" w:h="16838" w:orient="portrait"/>
          <w:cols w:equalWidth="0" w:num="1">
            <w:col w:w="11240"/>
          </w:cols>
          <w:pgMar w:left="320" w:top="1404" w:right="339" w:bottom="1440" w:gutter="0" w:footer="0" w:header="0"/>
        </w:sectPr>
      </w:pP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both"/>
        <w:ind w:right="20" w:hanging="519"/>
        <w:spacing w:after="0" w:line="237" w:lineRule="auto"/>
        <w:rPr>
          <w:sz w:val="20"/>
          <w:szCs w:val="20"/>
          <w:color w:val="auto"/>
        </w:rPr>
      </w:pPr>
      <w:r>
        <w:rPr>
          <w:rFonts w:ascii="Arial" w:cs="Arial" w:eastAsia="Arial" w:hAnsi="Arial"/>
          <w:sz w:val="17"/>
          <w:szCs w:val="17"/>
          <w:color w:val="auto"/>
        </w:rPr>
        <w:t>(b)</w:t>
      </w:r>
      <w:r>
        <w:rPr>
          <w:sz w:val="20"/>
          <w:szCs w:val="20"/>
          <w:color w:val="auto"/>
        </w:rPr>
        <w:t xml:space="preserve"> </w:t>
      </w:r>
      <w:r>
        <w:rPr>
          <w:rFonts w:ascii="Arial" w:cs="Arial" w:eastAsia="Arial" w:hAnsi="Arial"/>
          <w:sz w:val="17"/>
          <w:szCs w:val="17"/>
          <w:color w:val="auto"/>
        </w:rPr>
        <w:t>The subject annual report, semi-annual report, transition report on Form 10-K, Form 20-F, 11-K or Form N-SAR, or portion thereof, will be filed on or before the fifteenth calendar day following the prescribed due date; or the subject quarterly report or transition report on Form 10-Q, or portion thereof will be filed on or before the fifth calendar day following the prescribed due date; and</w:t>
      </w:r>
    </w:p>
    <w:p>
      <w:pPr>
        <w:spacing w:after="0" w:line="14" w:lineRule="exact"/>
        <w:rPr>
          <w:sz w:val="20"/>
          <w:szCs w:val="20"/>
          <w:color w:val="auto"/>
        </w:rPr>
      </w:pPr>
    </w:p>
    <w:p>
      <w:pPr>
        <w:sectPr>
          <w:pgSz w:w="11900" w:h="16838" w:orient="portrait"/>
          <w:cols w:equalWidth="0" w:num="2">
            <w:col w:w="640" w:space="720"/>
            <w:col w:w="9880"/>
          </w:cols>
          <w:pgMar w:left="320" w:top="1404" w:right="339" w:bottom="1440" w:gutter="0" w:footer="0" w:header="0"/>
          <w:type w:val="continuous"/>
        </w:sectPr>
      </w:pPr>
    </w:p>
    <w:p>
      <w:pPr>
        <w:jc w:val="center"/>
        <w:ind w:left="32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tabs>
          <w:tab w:leader="none" w:pos="50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6"/>
          <w:szCs w:val="16"/>
          <w:color w:val="auto"/>
        </w:rPr>
        <w:t>The accountant’s statement or other exhibit required by Rule 12b-25(c) has been attached if applicable.</w:t>
      </w:r>
    </w:p>
    <w:p>
      <w:pPr>
        <w:spacing w:after="0" w:line="222" w:lineRule="exact"/>
        <w:rPr>
          <w:sz w:val="20"/>
          <w:szCs w:val="20"/>
          <w:color w:val="auto"/>
        </w:rPr>
      </w:pPr>
    </w:p>
    <w:p>
      <w:pPr>
        <w:sectPr>
          <w:pgSz w:w="11900" w:h="16838" w:orient="portrait"/>
          <w:cols w:equalWidth="0" w:num="2">
            <w:col w:w="540" w:space="300"/>
            <w:col w:w="10400"/>
          </w:cols>
          <w:pgMar w:left="320" w:top="1404"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14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State below in reasonable detail the reasons why Forms 10-K, 20-F, 11-K, 10-Q, N-SAR, or the transition report or portion thereof, could not be filed within the prescribed time period.</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Lifecore Biomedical, Inc. (the “Company”) could not complete the filing of its Quarterly Report on Form 10-Q for the period ended February 26, 2023 (the</w:t>
      </w:r>
    </w:p>
    <w:p>
      <w:pPr>
        <w:spacing w:after="0" w:line="21" w:lineRule="exact"/>
        <w:rPr>
          <w:sz w:val="20"/>
          <w:szCs w:val="20"/>
          <w:color w:val="auto"/>
        </w:rPr>
      </w:pPr>
    </w:p>
    <w:p>
      <w:pPr>
        <w:ind w:right="260"/>
        <w:spacing w:after="0" w:line="218" w:lineRule="auto"/>
        <w:rPr>
          <w:sz w:val="20"/>
          <w:szCs w:val="20"/>
          <w:color w:val="auto"/>
        </w:rPr>
      </w:pPr>
      <w:r>
        <w:rPr>
          <w:rFonts w:ascii="Arial" w:cs="Arial" w:eastAsia="Arial" w:hAnsi="Arial"/>
          <w:sz w:val="18"/>
          <w:szCs w:val="18"/>
          <w:color w:val="auto"/>
        </w:rPr>
        <w:t>“Third Quarter Form 10-Q”) in a timely manner due to a delay in obtaining and compiling information required to be included in its Third Quarter Form 10-Q, which delay could not be eliminated by the Company without unreasonable effort and expense. In accordance with Rule 12b-25 of the Securities Exchange Act of 1934, the Company will file its Third Quarter Form 10-Q as soon as practicable.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229" w:lineRule="exact"/>
        <w:rPr>
          <w:sz w:val="20"/>
          <w:szCs w:val="20"/>
          <w:color w:val="auto"/>
        </w:rPr>
      </w:pPr>
    </w:p>
    <w:p>
      <w:pPr>
        <w:ind w:left="560" w:hanging="534"/>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John D. Morberg</w:t>
            </w:r>
          </w:p>
        </w:tc>
        <w:tc>
          <w:tcPr>
            <w:tcW w:w="3400" w:type="dxa"/>
            <w:vAlign w:val="bottom"/>
          </w:tcPr>
          <w:p>
            <w:pPr>
              <w:jc w:val="right"/>
              <w:ind w:right="1470"/>
              <w:spacing w:after="0"/>
              <w:rPr>
                <w:sz w:val="20"/>
                <w:szCs w:val="20"/>
                <w:color w:val="auto"/>
              </w:rPr>
            </w:pPr>
            <w:r>
              <w:rPr>
                <w:rFonts w:ascii="Arial" w:cs="Arial" w:eastAsia="Arial" w:hAnsi="Arial"/>
                <w:sz w:val="18"/>
                <w:szCs w:val="18"/>
                <w:color w:val="auto"/>
              </w:rPr>
              <w:t>952</w:t>
            </w:r>
          </w:p>
        </w:tc>
        <w:tc>
          <w:tcPr>
            <w:tcW w:w="400" w:type="dxa"/>
            <w:vAlign w:val="bottom"/>
          </w:tcPr>
          <w:p>
            <w:pPr>
              <w:spacing w:after="0"/>
              <w:rPr>
                <w:sz w:val="20"/>
                <w:szCs w:val="20"/>
                <w:color w:val="auto"/>
              </w:rPr>
            </w:pPr>
          </w:p>
        </w:tc>
        <w:tc>
          <w:tcPr>
            <w:tcW w:w="3560" w:type="dxa"/>
            <w:vAlign w:val="bottom"/>
          </w:tcPr>
          <w:p>
            <w:pPr>
              <w:jc w:val="right"/>
              <w:ind w:right="1350"/>
              <w:spacing w:after="0"/>
              <w:rPr>
                <w:sz w:val="20"/>
                <w:szCs w:val="20"/>
                <w:color w:val="auto"/>
              </w:rPr>
            </w:pPr>
            <w:r>
              <w:rPr>
                <w:rFonts w:ascii="Arial" w:cs="Arial" w:eastAsia="Arial" w:hAnsi="Arial"/>
                <w:sz w:val="18"/>
                <w:szCs w:val="18"/>
                <w:color w:val="auto"/>
              </w:rPr>
              <w:t>368-4300</w:t>
            </w:r>
          </w:p>
        </w:tc>
      </w:tr>
      <w:tr>
        <w:trPr>
          <w:trHeight w:val="224"/>
        </w:trPr>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(Name)</w:t>
            </w:r>
          </w:p>
        </w:tc>
        <w:tc>
          <w:tcPr>
            <w:tcW w:w="420" w:type="dxa"/>
            <w:vAlign w:val="bottom"/>
          </w:tcPr>
          <w:p>
            <w:pPr>
              <w:spacing w:after="0"/>
              <w:rPr>
                <w:sz w:val="19"/>
                <w:szCs w:val="19"/>
                <w:color w:val="auto"/>
              </w:rPr>
            </w:pPr>
          </w:p>
        </w:tc>
        <w:tc>
          <w:tcPr>
            <w:tcW w:w="3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40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309" w:lineRule="exact"/>
        <w:rPr>
          <w:sz w:val="20"/>
          <w:szCs w:val="20"/>
          <w:color w:val="auto"/>
        </w:rPr>
      </w:pPr>
    </w:p>
    <w:p>
      <w:pPr>
        <w:jc w:val="both"/>
        <w:ind w:left="560" w:right="60" w:hanging="534"/>
        <w:spacing w:after="0" w:line="224"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352" w:lineRule="exact"/>
        <w:rPr>
          <w:sz w:val="20"/>
          <w:szCs w:val="20"/>
          <w:color w:val="auto"/>
        </w:rPr>
      </w:pPr>
    </w:p>
    <w:p>
      <w:pPr>
        <w:ind w:left="6660"/>
        <w:spacing w:after="0"/>
        <w:tabs>
          <w:tab w:leader="none" w:pos="10720" w:val="left"/>
        </w:tabs>
        <w:rPr>
          <w:sz w:val="20"/>
          <w:szCs w:val="20"/>
          <w:color w:val="auto"/>
        </w:rPr>
      </w:pPr>
      <w:r>
        <w:rPr>
          <w:rFonts w:ascii="Arial" w:cs="Arial" w:eastAsia="Arial" w:hAnsi="Arial"/>
          <w:sz w:val="18"/>
          <w:szCs w:val="18"/>
          <w:color w:val="auto"/>
        </w:rPr>
        <w:t>[X] Yes</w:t>
      </w:r>
      <w:r>
        <w:rPr>
          <w:sz w:val="20"/>
          <w:szCs w:val="20"/>
          <w:color w:val="auto"/>
        </w:rPr>
        <w:tab/>
      </w:r>
      <w:r>
        <w:rPr>
          <w:rFonts w:ascii="Arial" w:cs="Arial" w:eastAsia="Arial" w:hAnsi="Arial"/>
          <w:sz w:val="18"/>
          <w:szCs w:val="18"/>
          <w:color w:val="auto"/>
        </w:rPr>
        <w:t>[ ] No</w:t>
      </w:r>
    </w:p>
    <w:p>
      <w:pPr>
        <w:spacing w:after="0" w:line="333" w:lineRule="exact"/>
        <w:rPr>
          <w:sz w:val="20"/>
          <w:szCs w:val="20"/>
          <w:color w:val="auto"/>
        </w:rPr>
      </w:pPr>
    </w:p>
    <w:p>
      <w:pPr>
        <w:ind w:left="560" w:right="60" w:hanging="534"/>
        <w:spacing w:after="0" w:line="246"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345" w:lineRule="exact"/>
        <w:rPr>
          <w:sz w:val="20"/>
          <w:szCs w:val="20"/>
          <w:color w:val="auto"/>
        </w:rPr>
      </w:pPr>
    </w:p>
    <w:p>
      <w:pPr>
        <w:ind w:left="6760"/>
        <w:spacing w:after="0"/>
        <w:tabs>
          <w:tab w:leader="none" w:pos="10680" w:val="left"/>
        </w:tabs>
        <w:rPr>
          <w:sz w:val="20"/>
          <w:szCs w:val="20"/>
          <w:color w:val="auto"/>
        </w:rPr>
      </w:pPr>
      <w:r>
        <w:rPr>
          <w:rFonts w:ascii="Arial" w:cs="Arial" w:eastAsia="Arial" w:hAnsi="Arial"/>
          <w:sz w:val="18"/>
          <w:szCs w:val="18"/>
          <w:color w:val="auto"/>
        </w:rPr>
        <w:t>[ ] Yes</w:t>
      </w:r>
      <w:r>
        <w:rPr>
          <w:sz w:val="20"/>
          <w:szCs w:val="20"/>
          <w:color w:val="auto"/>
        </w:rPr>
        <w:tab/>
      </w:r>
      <w:r>
        <w:rPr>
          <w:rFonts w:ascii="Arial" w:cs="Arial" w:eastAsia="Arial" w:hAnsi="Arial"/>
          <w:sz w:val="18"/>
          <w:szCs w:val="18"/>
          <w:color w:val="auto"/>
        </w:rPr>
        <w:t>[X] No</w:t>
      </w:r>
    </w:p>
    <w:p>
      <w:pPr>
        <w:spacing w:after="0" w:line="333" w:lineRule="exact"/>
        <w:rPr>
          <w:sz w:val="20"/>
          <w:szCs w:val="20"/>
          <w:color w:val="auto"/>
        </w:rPr>
      </w:pPr>
    </w:p>
    <w:p>
      <w:pPr>
        <w:ind w:left="300" w:right="40"/>
        <w:spacing w:after="0" w:line="235"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ectPr>
          <w:pgSz w:w="11900" w:h="16838" w:orient="portrait"/>
          <w:cols w:equalWidth="0" w:num="1">
            <w:col w:w="11240"/>
          </w:cols>
          <w:pgMar w:left="320" w:top="1404" w:right="339" w:bottom="1440" w:gutter="0" w:footer="0" w:header="0"/>
          <w:type w:val="continuous"/>
        </w:sectPr>
      </w:pPr>
    </w:p>
    <w:bookmarkStart w:id="2" w:name="page3"/>
    <w:bookmarkEnd w:id="2"/>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Lifecore Biomedical,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Charter)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p>
      <w:pPr>
        <w:ind w:left="20"/>
        <w:spacing w:after="0"/>
        <w:tabs>
          <w:tab w:leader="none" w:pos="5520" w:val="left"/>
          <w:tab w:leader="none" w:pos="6100" w:val="left"/>
        </w:tabs>
        <w:rPr>
          <w:sz w:val="20"/>
          <w:szCs w:val="20"/>
          <w:color w:val="auto"/>
        </w:rPr>
      </w:pPr>
      <w:r>
        <w:rPr>
          <w:rFonts w:ascii="Arial" w:cs="Arial" w:eastAsia="Arial" w:hAnsi="Arial"/>
          <w:sz w:val="18"/>
          <w:szCs w:val="18"/>
          <w:color w:val="auto"/>
        </w:rPr>
        <w:t>Date: April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John D. Morberg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John D. Morberg, Chief Financial Officer</w:t>
      </w:r>
    </w:p>
    <w:p>
      <w:pPr>
        <w:spacing w:after="0" w:line="26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INSTRUCTION: </w:t>
      </w:r>
      <w:r>
        <w:rPr>
          <w:rFonts w:ascii="Arial" w:cs="Arial" w:eastAsia="Arial" w:hAnsi="Arial"/>
          <w:sz w:val="16"/>
          <w:szCs w:val="16"/>
          <w:color w:val="auto"/>
        </w:rPr>
        <w:t>The form may be signed by an executive officer of the registrant or by any other duly authorized representative. The name and title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18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INTENTIONAL MISSTATEMENTS OR OMISSIONS OF FACT</w:t>
      </w:r>
    </w:p>
    <w:p>
      <w:pPr>
        <w:jc w:val="center"/>
        <w:ind w:right="-19"/>
        <w:spacing w:after="0" w:line="219" w:lineRule="auto"/>
        <w:rPr>
          <w:sz w:val="20"/>
          <w:szCs w:val="20"/>
          <w:color w:val="auto"/>
        </w:rPr>
      </w:pPr>
      <w:r>
        <w:rPr>
          <w:rFonts w:ascii="Arial" w:cs="Arial" w:eastAsia="Arial" w:hAnsi="Arial"/>
          <w:sz w:val="18"/>
          <w:szCs w:val="18"/>
          <w:b w:val="1"/>
          <w:bCs w:val="1"/>
          <w:color w:val="auto"/>
        </w:rPr>
        <w:t>CONSTITUTE FEDERAL CRIMINAL VIOLATIONS</w:t>
      </w:r>
    </w:p>
    <w:p>
      <w:pPr>
        <w:jc w:val="center"/>
        <w:ind w:right="-19"/>
        <w:spacing w:after="0"/>
        <w:rPr>
          <w:sz w:val="20"/>
          <w:szCs w:val="20"/>
          <w:color w:val="auto"/>
        </w:rPr>
      </w:pPr>
      <w:r>
        <w:rPr>
          <w:rFonts w:ascii="Arial" w:cs="Arial" w:eastAsia="Arial" w:hAnsi="Arial"/>
          <w:sz w:val="18"/>
          <w:szCs w:val="18"/>
          <w:b w:val="1"/>
          <w:bCs w:val="1"/>
          <w:color w:val="auto"/>
        </w:rPr>
        <w:t>(SEE 18 U.S.C. 1001)</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2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2023-04-10T15:17:14Z</dcterms:created>
  <dcterms:modified xsi:type="dcterms:W3CDTF">2023-04-10T15:17:14Z</dcterms:modified>
</cp:coreProperties>
</file>