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432435</wp:posOffset>
            </wp:positionV>
            <wp:extent cx="70237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37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391160</wp:posOffset>
            </wp:positionV>
            <wp:extent cx="702373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373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 10-K/A</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No. 1)</w:t>
      </w:r>
    </w:p>
    <w:p>
      <w:pPr>
        <w:spacing w:after="0" w:line="352" w:lineRule="exact"/>
        <w:rPr>
          <w:sz w:val="24"/>
          <w:szCs w:val="24"/>
          <w:color w:val="auto"/>
        </w:rPr>
      </w:pPr>
    </w:p>
    <w:p>
      <w:pPr>
        <w:ind w:left="980" w:hanging="960"/>
        <w:spacing w:after="0"/>
        <w:tabs>
          <w:tab w:leader="none" w:pos="9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28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For the Fiscal Year Ended May 29, 2022, or</w:t>
      </w:r>
    </w:p>
    <w:p>
      <w:pPr>
        <w:spacing w:after="0" w:line="49" w:lineRule="exact"/>
        <w:rPr>
          <w:sz w:val="24"/>
          <w:szCs w:val="24"/>
          <w:color w:val="auto"/>
        </w:rPr>
      </w:pPr>
    </w:p>
    <w:p>
      <w:pPr>
        <w:ind w:left="980" w:hanging="960"/>
        <w:spacing w:after="0"/>
        <w:tabs>
          <w:tab w:leader="none" w:pos="9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80" w:lineRule="exact"/>
        <w:rPr>
          <w:sz w:val="24"/>
          <w:szCs w:val="24"/>
          <w:color w:val="auto"/>
        </w:rPr>
      </w:pPr>
    </w:p>
    <w:p>
      <w:pPr>
        <w:ind w:left="3660"/>
        <w:spacing w:after="0"/>
        <w:rPr>
          <w:sz w:val="20"/>
          <w:szCs w:val="20"/>
          <w:color w:val="auto"/>
        </w:rPr>
      </w:pPr>
      <w:r>
        <w:rPr>
          <w:rFonts w:ascii="Arial" w:cs="Arial" w:eastAsia="Arial" w:hAnsi="Arial"/>
          <w:sz w:val="17"/>
          <w:szCs w:val="17"/>
          <w:color w:val="auto"/>
        </w:rPr>
        <w:t>For the Transition period from _________ to _________.</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000-27446</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LIFECORE BIOMEDICAL,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295" w:right="339" w:bottom="0" w:gutter="0" w:footer="0" w:header="0"/>
        </w:sectPr>
      </w:pPr>
    </w:p>
    <w:p>
      <w:pPr>
        <w:spacing w:after="0" w:line="29" w:lineRule="exact"/>
        <w:rPr>
          <w:sz w:val="24"/>
          <w:szCs w:val="24"/>
          <w:color w:val="auto"/>
        </w:rPr>
      </w:pPr>
    </w:p>
    <w:p>
      <w:pPr>
        <w:jc w:val="center"/>
        <w:ind w:right="760"/>
        <w:spacing w:after="0"/>
        <w:rPr>
          <w:sz w:val="20"/>
          <w:szCs w:val="20"/>
          <w:color w:val="auto"/>
        </w:rPr>
      </w:pPr>
      <w:r>
        <w:rPr>
          <w:rFonts w:ascii="Arial" w:cs="Arial" w:eastAsia="Arial" w:hAnsi="Arial"/>
          <w:sz w:val="17"/>
          <w:szCs w:val="17"/>
          <w:b w:val="1"/>
          <w:bCs w:val="1"/>
          <w:color w:val="auto"/>
        </w:rPr>
        <w:t>Delaware</w:t>
      </w:r>
    </w:p>
    <w:p>
      <w:pPr>
        <w:spacing w:after="0" w:line="30" w:lineRule="exact"/>
        <w:rPr>
          <w:sz w:val="24"/>
          <w:szCs w:val="24"/>
          <w:color w:val="auto"/>
        </w:rPr>
      </w:pPr>
    </w:p>
    <w:p>
      <w:pPr>
        <w:jc w:val="center"/>
        <w:ind w:right="76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1460"/>
        <w:spacing w:after="0"/>
        <w:rPr>
          <w:sz w:val="20"/>
          <w:szCs w:val="20"/>
          <w:color w:val="auto"/>
        </w:rPr>
      </w:pPr>
      <w:r>
        <w:rPr>
          <w:rFonts w:ascii="Arial" w:cs="Arial" w:eastAsia="Arial" w:hAnsi="Arial"/>
          <w:sz w:val="17"/>
          <w:szCs w:val="17"/>
          <w:b w:val="1"/>
          <w:bCs w:val="1"/>
          <w:color w:val="auto"/>
        </w:rPr>
        <w:t>94-3025618</w:t>
      </w:r>
    </w:p>
    <w:p>
      <w:pPr>
        <w:spacing w:after="0" w:line="30" w:lineRule="exact"/>
        <w:rPr>
          <w:sz w:val="24"/>
          <w:szCs w:val="24"/>
          <w:color w:val="auto"/>
        </w:rPr>
      </w:pPr>
    </w:p>
    <w:p>
      <w:pPr>
        <w:jc w:val="center"/>
        <w:ind w:right="14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380" w:space="720"/>
            <w:col w:w="4140"/>
          </w:cols>
          <w:pgMar w:left="320" w:top="295" w:right="339" w:bottom="0" w:gutter="0" w:footer="0" w:header="0"/>
          <w:type w:val="continuous"/>
        </w:sectPr>
      </w:pPr>
    </w:p>
    <w:p>
      <w:pPr>
        <w:spacing w:after="0" w:line="113" w:lineRule="exact"/>
        <w:rPr>
          <w:sz w:val="24"/>
          <w:szCs w:val="24"/>
          <w:color w:val="auto"/>
        </w:rPr>
      </w:pPr>
    </w:p>
    <w:p>
      <w:pPr>
        <w:ind w:left="3620"/>
        <w:spacing w:after="0"/>
        <w:rPr>
          <w:sz w:val="20"/>
          <w:szCs w:val="20"/>
          <w:color w:val="auto"/>
        </w:rPr>
      </w:pPr>
      <w:r>
        <w:rPr>
          <w:rFonts w:ascii="Arial" w:cs="Arial" w:eastAsia="Arial" w:hAnsi="Arial"/>
          <w:sz w:val="17"/>
          <w:szCs w:val="17"/>
          <w:b w:val="1"/>
          <w:bCs w:val="1"/>
          <w:color w:val="auto"/>
        </w:rPr>
        <w:t>3515 Lyman Boulevard</w:t>
      </w:r>
    </w:p>
    <w:p>
      <w:pPr>
        <w:spacing w:after="0" w:line="37" w:lineRule="exact"/>
        <w:rPr>
          <w:sz w:val="24"/>
          <w:szCs w:val="24"/>
          <w:color w:val="auto"/>
        </w:rPr>
      </w:pPr>
    </w:p>
    <w:p>
      <w:pPr>
        <w:ind w:left="3860"/>
        <w:spacing w:after="0"/>
        <w:rPr>
          <w:sz w:val="20"/>
          <w:szCs w:val="20"/>
          <w:color w:val="auto"/>
        </w:rPr>
      </w:pPr>
      <w:r>
        <w:rPr>
          <w:rFonts w:ascii="Arial" w:cs="Arial" w:eastAsia="Arial" w:hAnsi="Arial"/>
          <w:sz w:val="17"/>
          <w:szCs w:val="17"/>
          <w:b w:val="1"/>
          <w:bCs w:val="1"/>
          <w:color w:val="auto"/>
        </w:rPr>
        <w:t>Chaska, Minnesota</w:t>
      </w:r>
    </w:p>
    <w:p>
      <w:pPr>
        <w:spacing w:after="0" w:line="30" w:lineRule="exact"/>
        <w:rPr>
          <w:sz w:val="24"/>
          <w:szCs w:val="24"/>
          <w:color w:val="auto"/>
        </w:rPr>
      </w:pPr>
    </w:p>
    <w:p>
      <w:pPr>
        <w:ind w:left="31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jc w:val="center"/>
        <w:ind w:right="2720"/>
        <w:spacing w:after="0"/>
        <w:rPr>
          <w:sz w:val="20"/>
          <w:szCs w:val="20"/>
          <w:color w:val="auto"/>
        </w:rPr>
      </w:pPr>
      <w:r>
        <w:rPr>
          <w:rFonts w:ascii="Arial" w:cs="Arial" w:eastAsia="Arial" w:hAnsi="Arial"/>
          <w:sz w:val="17"/>
          <w:szCs w:val="17"/>
          <w:b w:val="1"/>
          <w:bCs w:val="1"/>
          <w:color w:val="auto"/>
        </w:rPr>
        <w:t>55318</w:t>
      </w:r>
    </w:p>
    <w:p>
      <w:pPr>
        <w:spacing w:after="0" w:line="30" w:lineRule="exact"/>
        <w:rPr>
          <w:sz w:val="24"/>
          <w:szCs w:val="24"/>
          <w:color w:val="auto"/>
        </w:rPr>
      </w:pPr>
    </w:p>
    <w:p>
      <w:pPr>
        <w:jc w:val="center"/>
        <w:ind w:right="27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060" w:space="720"/>
            <w:col w:w="3460"/>
          </w:cols>
          <w:pgMar w:left="320" w:top="295" w:right="339" w:bottom="0" w:gutter="0" w:footer="0" w:header="0"/>
          <w:type w:val="continuous"/>
        </w:sectPr>
      </w:pP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(952) 368-4300</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LANDEC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2811 Airpark Drive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Santa Maria, California 93455</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47" w:lineRule="exact"/>
        <w:rPr>
          <w:sz w:val="24"/>
          <w:szCs w:val="24"/>
          <w:color w:val="auto"/>
        </w:rPr>
      </w:pPr>
    </w:p>
    <w:tbl>
      <w:tblPr>
        <w:tblLayout w:type="fixed"/>
        <w:tblInd w:w="640" w:type="dxa"/>
        <w:tblCellMar>
          <w:top w:w="0" w:type="dxa"/>
          <w:left w:w="0" w:type="dxa"/>
          <w:bottom w:w="0" w:type="dxa"/>
          <w:right w:w="0" w:type="dxa"/>
        </w:tblCellMar>
      </w:tblPr>
      <w:tr>
        <w:trPr>
          <w:trHeight w:val="195"/>
        </w:trPr>
        <w:tc>
          <w:tcPr>
            <w:tcW w:w="8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1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Trading Symbol</w:t>
            </w:r>
          </w:p>
        </w:tc>
        <w:tc>
          <w:tcPr>
            <w:tcW w:w="1360" w:type="dxa"/>
            <w:vAlign w:val="bottom"/>
          </w:tcPr>
          <w:p>
            <w:pPr>
              <w:spacing w:after="0"/>
              <w:rPr>
                <w:sz w:val="16"/>
                <w:szCs w:val="16"/>
                <w:color w:val="auto"/>
              </w:rPr>
            </w:pPr>
          </w:p>
        </w:tc>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w w:val="89"/>
              </w:rPr>
              <w:t>Name of each exchange on which registered</w:t>
            </w:r>
          </w:p>
        </w:tc>
      </w:tr>
      <w:tr>
        <w:trPr>
          <w:trHeight w:val="275"/>
        </w:trPr>
        <w:tc>
          <w:tcPr>
            <w:tcW w:w="3660" w:type="dxa"/>
            <w:vAlign w:val="bottom"/>
            <w:gridSpan w:val="3"/>
          </w:tcPr>
          <w:p>
            <w:pPr>
              <w:jc w:val="center"/>
              <w:ind w:right="680"/>
              <w:spacing w:after="0"/>
              <w:rPr>
                <w:sz w:val="20"/>
                <w:szCs w:val="20"/>
                <w:color w:val="auto"/>
              </w:rPr>
            </w:pPr>
            <w:r>
              <w:rPr>
                <w:rFonts w:ascii="Arial" w:cs="Arial" w:eastAsia="Arial" w:hAnsi="Arial"/>
                <w:sz w:val="17"/>
                <w:szCs w:val="17"/>
                <w:color w:val="auto"/>
                <w:w w:val="90"/>
              </w:rPr>
              <w:t>Common Stock, par value $0.001 per share</w:t>
            </w:r>
          </w:p>
        </w:tc>
        <w:tc>
          <w:tcPr>
            <w:tcW w:w="660" w:type="dxa"/>
            <w:vAlign w:val="bottom"/>
          </w:tcPr>
          <w:p>
            <w:pPr>
              <w:spacing w:after="0"/>
              <w:rPr>
                <w:sz w:val="23"/>
                <w:szCs w:val="23"/>
                <w:color w:val="auto"/>
              </w:rPr>
            </w:pPr>
          </w:p>
        </w:tc>
        <w:tc>
          <w:tcPr>
            <w:tcW w:w="2480" w:type="dxa"/>
            <w:vAlign w:val="bottom"/>
            <w:gridSpan w:val="2"/>
          </w:tcPr>
          <w:p>
            <w:pPr>
              <w:jc w:val="center"/>
              <w:ind w:right="1360"/>
              <w:spacing w:after="0"/>
              <w:rPr>
                <w:sz w:val="20"/>
                <w:szCs w:val="20"/>
                <w:color w:val="auto"/>
              </w:rPr>
            </w:pPr>
            <w:r>
              <w:rPr>
                <w:rFonts w:ascii="Arial" w:cs="Arial" w:eastAsia="Arial" w:hAnsi="Arial"/>
                <w:sz w:val="17"/>
                <w:szCs w:val="17"/>
                <w:color w:val="auto"/>
                <w:w w:val="99"/>
              </w:rPr>
              <w:t>LFCR</w:t>
            </w:r>
          </w:p>
        </w:tc>
        <w:tc>
          <w:tcPr>
            <w:tcW w:w="3080" w:type="dxa"/>
            <w:vAlign w:val="bottom"/>
          </w:tcPr>
          <w:p>
            <w:pPr>
              <w:ind w:left="40"/>
              <w:spacing w:after="0"/>
              <w:rPr>
                <w:sz w:val="20"/>
                <w:szCs w:val="20"/>
                <w:color w:val="auto"/>
              </w:rPr>
            </w:pPr>
            <w:r>
              <w:rPr>
                <w:rFonts w:ascii="Arial" w:cs="Arial" w:eastAsia="Arial" w:hAnsi="Arial"/>
                <w:sz w:val="17"/>
                <w:szCs w:val="17"/>
                <w:color w:val="auto"/>
                <w:w w:val="95"/>
              </w:rPr>
              <w:t>The NASDAQ Global Select Stock Market</w:t>
            </w:r>
          </w:p>
        </w:tc>
      </w:tr>
    </w:tbl>
    <w:p>
      <w:pPr>
        <w:spacing w:after="0" w:line="337"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Securities registered pursuant to Section 12(g) of the Act:</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None</w:t>
      </w:r>
    </w:p>
    <w:p>
      <w:pPr>
        <w:spacing w:after="0" w:line="200" w:lineRule="exact"/>
        <w:rPr>
          <w:sz w:val="24"/>
          <w:szCs w:val="24"/>
          <w:color w:val="auto"/>
        </w:rPr>
      </w:pPr>
    </w:p>
    <w:p>
      <w:pPr>
        <w:ind w:right="2080"/>
        <w:spacing w:after="0" w:line="32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0" w:lineRule="exact"/>
        <w:rPr>
          <w:sz w:val="24"/>
          <w:szCs w:val="24"/>
          <w:color w:val="auto"/>
        </w:rPr>
      </w:pPr>
    </w:p>
    <w:p>
      <w:pPr>
        <w:jc w:val="both"/>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9" w:lineRule="exact"/>
        <w:rPr>
          <w:sz w:val="24"/>
          <w:szCs w:val="24"/>
          <w:color w:val="auto"/>
        </w:rPr>
      </w:pPr>
    </w:p>
    <w:p>
      <w:pPr>
        <w:jc w:val="both"/>
        <w:spacing w:after="0" w:line="222"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7" w:lineRule="exact"/>
        <w:rPr>
          <w:sz w:val="24"/>
          <w:szCs w:val="24"/>
          <w:color w:val="auto"/>
        </w:rPr>
      </w:pPr>
    </w:p>
    <w:p>
      <w:pPr>
        <w:jc w:val="both"/>
        <w:spacing w:after="0" w:line="25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24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000" w:type="dxa"/>
            <w:vAlign w:val="bottom"/>
          </w:tcPr>
          <w:p>
            <w:pPr>
              <w:ind w:left="820"/>
              <w:spacing w:after="0" w:line="171" w:lineRule="exact"/>
              <w:rPr>
                <w:sz w:val="20"/>
                <w:szCs w:val="20"/>
                <w:color w:val="auto"/>
              </w:rPr>
            </w:pPr>
            <w:r>
              <w:rPr>
                <w:rFonts w:ascii="MS PGothic" w:cs="MS PGothic" w:eastAsia="MS PGothic" w:hAnsi="MS PGothic"/>
                <w:sz w:val="17"/>
                <w:szCs w:val="17"/>
                <w:color w:val="auto"/>
              </w:rPr>
              <w:t>☐</w:t>
            </w:r>
          </w:p>
        </w:tc>
        <w:tc>
          <w:tcPr>
            <w:tcW w:w="4660" w:type="dxa"/>
            <w:vAlign w:val="bottom"/>
          </w:tcPr>
          <w:p>
            <w:pPr>
              <w:ind w:left="2040"/>
              <w:spacing w:after="0"/>
              <w:rPr>
                <w:sz w:val="20"/>
                <w:szCs w:val="20"/>
                <w:color w:val="auto"/>
              </w:rPr>
            </w:pPr>
            <w:r>
              <w:rPr>
                <w:rFonts w:ascii="Arial" w:cs="Arial" w:eastAsia="Arial" w:hAnsi="Arial"/>
                <w:sz w:val="17"/>
                <w:szCs w:val="17"/>
                <w:color w:val="auto"/>
              </w:rPr>
              <w:t>Accelerated Filer</w:t>
            </w:r>
          </w:p>
        </w:tc>
        <w:tc>
          <w:tcPr>
            <w:tcW w:w="820" w:type="dxa"/>
            <w:vAlign w:val="bottom"/>
          </w:tcPr>
          <w:p>
            <w:pPr>
              <w:ind w:left="6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9"/>
        </w:trPr>
        <w:tc>
          <w:tcPr>
            <w:tcW w:w="2460" w:type="dxa"/>
            <w:vAlign w:val="bottom"/>
          </w:tcPr>
          <w:p>
            <w:pPr>
              <w:spacing w:after="0"/>
              <w:rPr>
                <w:sz w:val="20"/>
                <w:szCs w:val="20"/>
                <w:color w:val="auto"/>
              </w:rPr>
            </w:pPr>
            <w:r>
              <w:rPr>
                <w:rFonts w:ascii="Arial" w:cs="Arial" w:eastAsia="Arial" w:hAnsi="Arial"/>
                <w:sz w:val="17"/>
                <w:szCs w:val="17"/>
                <w:color w:val="auto"/>
              </w:rPr>
              <w:t>Non Accelerated Filer</w:t>
            </w:r>
          </w:p>
        </w:tc>
        <w:tc>
          <w:tcPr>
            <w:tcW w:w="3000" w:type="dxa"/>
            <w:vAlign w:val="bottom"/>
          </w:tcPr>
          <w:p>
            <w:pPr>
              <w:ind w:left="820"/>
              <w:spacing w:after="0" w:line="171" w:lineRule="exact"/>
              <w:rPr>
                <w:sz w:val="20"/>
                <w:szCs w:val="20"/>
                <w:color w:val="auto"/>
              </w:rPr>
            </w:pPr>
            <w:r>
              <w:rPr>
                <w:rFonts w:ascii="MS PGothic" w:cs="MS PGothic" w:eastAsia="MS PGothic" w:hAnsi="MS PGothic"/>
                <w:sz w:val="17"/>
                <w:szCs w:val="17"/>
                <w:color w:val="auto"/>
              </w:rPr>
              <w:t>☐</w:t>
            </w:r>
          </w:p>
        </w:tc>
        <w:tc>
          <w:tcPr>
            <w:tcW w:w="4660" w:type="dxa"/>
            <w:vAlign w:val="bottom"/>
          </w:tcPr>
          <w:p>
            <w:pPr>
              <w:ind w:left="2040"/>
              <w:spacing w:after="0"/>
              <w:rPr>
                <w:sz w:val="20"/>
                <w:szCs w:val="20"/>
                <w:color w:val="auto"/>
              </w:rPr>
            </w:pPr>
            <w:r>
              <w:rPr>
                <w:rFonts w:ascii="Arial" w:cs="Arial" w:eastAsia="Arial" w:hAnsi="Arial"/>
                <w:sz w:val="17"/>
                <w:szCs w:val="17"/>
                <w:color w:val="auto"/>
              </w:rPr>
              <w:t>Smaller Reporting Company</w:t>
            </w:r>
          </w:p>
        </w:tc>
        <w:tc>
          <w:tcPr>
            <w:tcW w:w="820" w:type="dxa"/>
            <w:vAlign w:val="bottom"/>
          </w:tcPr>
          <w:p>
            <w:pPr>
              <w:ind w:left="6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24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660" w:type="dxa"/>
            <w:vAlign w:val="bottom"/>
          </w:tcPr>
          <w:p>
            <w:pPr>
              <w:ind w:left="2040"/>
              <w:spacing w:after="0"/>
              <w:rPr>
                <w:sz w:val="20"/>
                <w:szCs w:val="20"/>
                <w:color w:val="auto"/>
              </w:rPr>
            </w:pPr>
            <w:r>
              <w:rPr>
                <w:rFonts w:ascii="Arial" w:cs="Arial" w:eastAsia="Arial" w:hAnsi="Arial"/>
                <w:sz w:val="17"/>
                <w:szCs w:val="17"/>
                <w:color w:val="auto"/>
              </w:rPr>
              <w:t>Emerging Growth Company</w:t>
            </w:r>
          </w:p>
        </w:tc>
        <w:tc>
          <w:tcPr>
            <w:tcW w:w="820" w:type="dxa"/>
            <w:vAlign w:val="bottom"/>
          </w:tcPr>
          <w:p>
            <w:pPr>
              <w:ind w:left="6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9" w:lineRule="exact"/>
        <w:rPr>
          <w:sz w:val="24"/>
          <w:szCs w:val="24"/>
          <w:color w:val="auto"/>
        </w:rPr>
      </w:pPr>
    </w:p>
    <w:p>
      <w:pPr>
        <w:jc w:val="both"/>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7" w:lineRule="exact"/>
        <w:rPr>
          <w:sz w:val="24"/>
          <w:szCs w:val="24"/>
          <w:color w:val="auto"/>
        </w:rPr>
      </w:pPr>
    </w:p>
    <w:p>
      <w:pPr>
        <w:jc w:val="both"/>
        <w:spacing w:after="0" w:line="216"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19"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1" w:lineRule="exact"/>
        <w:rPr>
          <w:sz w:val="24"/>
          <w:szCs w:val="24"/>
          <w:color w:val="auto"/>
        </w:rPr>
      </w:pPr>
    </w:p>
    <w:p>
      <w:pPr>
        <w:jc w:val="both"/>
        <w:spacing w:after="0" w:line="318" w:lineRule="auto"/>
        <w:rPr>
          <w:sz w:val="20"/>
          <w:szCs w:val="20"/>
          <w:color w:val="auto"/>
        </w:rPr>
      </w:pPr>
      <w:r>
        <w:rPr>
          <w:rFonts w:ascii="Arial" w:cs="Arial" w:eastAsia="Arial" w:hAnsi="Arial"/>
          <w:sz w:val="15"/>
          <w:szCs w:val="15"/>
          <w:color w:val="auto"/>
        </w:rPr>
        <w:t>The aggregate market value of voting stock held by non-affiliates of the Registrant was approximately $225,356,000 as of November 29, 2021, the last business day of the registrant’s most recently completed second fiscal quarter, based upon the closing sales price on the NASDAQ Global Select Market (“NASDAQ”) reported for such date. Shares of Common Stock held by each officer and director and by each person who owns 10% or more of the outstanding Common Stock</w:t>
      </w:r>
    </w:p>
    <w:p>
      <w:pPr>
        <w:sectPr>
          <w:pgSz w:w="11900" w:h="16838" w:orient="portrait"/>
          <w:cols w:equalWidth="0" w:num="1">
            <w:col w:w="11240"/>
          </w:cols>
          <w:pgMar w:left="320" w:top="295" w:right="339" w:bottom="0" w:gutter="0" w:footer="0" w:header="0"/>
          <w:type w:val="continuous"/>
        </w:sectPr>
      </w:pPr>
    </w:p>
    <w:bookmarkStart w:id="1" w:name="page2"/>
    <w:bookmarkEnd w:id="1"/>
    <w:p>
      <w:pPr>
        <w:jc w:val="both"/>
        <w:spacing w:after="0" w:line="279" w:lineRule="auto"/>
        <w:rPr>
          <w:sz w:val="20"/>
          <w:szCs w:val="20"/>
          <w:color w:val="auto"/>
        </w:rPr>
      </w:pPr>
      <w:r>
        <w:rPr>
          <w:rFonts w:ascii="Arial" w:cs="Arial" w:eastAsia="Arial" w:hAnsi="Arial"/>
          <w:sz w:val="17"/>
          <w:szCs w:val="17"/>
          <w:color w:val="auto"/>
        </w:rPr>
        <w:t>have been excluded from such calculation in that such persons may be deemed to be affiliates. This determination of affiliate status is not necessarily a conclusive determination for other purposes.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As of March 15, 2023, there were 30,319,208 shares of common stock outstanding.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Portions of the registrant’s definitive proxy statement relating to its 2022 Annual Meeting of Stockholders (the “Proxy Statement”) filed with the Securities and Exchange Commission on September 19, 2022, are incorporated herein by reference where indicated. Except with respect to information specifically incorporated by reference in this Annual Report on Form 10-K/A,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1386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EXPLANATORY NOTE</w:t>
      </w:r>
    </w:p>
    <w:p>
      <w:pPr>
        <w:spacing w:after="0" w:line="200" w:lineRule="exact"/>
        <w:rPr>
          <w:sz w:val="20"/>
          <w:szCs w:val="20"/>
          <w:color w:val="auto"/>
        </w:rPr>
      </w:pPr>
    </w:p>
    <w:p>
      <w:pPr>
        <w:spacing w:after="0" w:line="22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This Amendment No. 1 on Form 10-K/A (the “Amendment”) is being filed by Lifecore Biomedical, Inc. (f/k/a Landec Corporation) (the “Company”) to amend and restate its Annual Report on Form 10-K for the year ended May 29, 2022, originally filed with the Securities and Exchange Commission (the “SEC”) on September 14, 2022 (the “Original 10-K”, and, as amended by this Amendment, the “Annual Report”) to reflect the restatement of the Company’s audited consolidated financial statements as of and for the year ended May 29, 2022 contained in the Original 10-K (the “Restatement”). This Amendment also adjusts the report by Ernst &amp; Young LLP, the Company’s Independent Registered Public Accounting Firm, that had appeared on page 39 of the Original 10-K.</w:t>
      </w:r>
    </w:p>
    <w:p>
      <w:pPr>
        <w:spacing w:after="0" w:line="13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addition, the Company is including in this Amendment currently dated certifications from its Chief Executive Officer and Chief Financial Officer as required by Sections 302 and 906 of the Sarbanes-Oxley Act of 2002, attached hereto as Exhibits 31.1 and 31.2 and Exhibits 32.1 and 32.2, respectively. The exhibits listed in Part IV-Item 15 “Exhibits and Financial Statement Schedules” are filed herewith in accordance with Rule 12b-15 of the Exchange Act.</w:t>
      </w:r>
    </w:p>
    <w:p>
      <w:pPr>
        <w:spacing w:after="0" w:line="11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This Amendment also includes the Company’s determination that, as of the date of the filing of this Amendment, the date the accompanying consolidated financial statements are being re-issued (the “Amended Filing Date”), the existence of certain conditions and events raise substantial doubt about the Company’s ability to continue as a going concern within one year following the Amended Filing Date.</w:t>
      </w:r>
    </w:p>
    <w:p>
      <w:pPr>
        <w:spacing w:after="0" w:line="1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On November 14, 2022, the Company changed its name from “Landec Corporation” to “Lifecore Biomedical, Inc.” (the “Name Change”) Currently therewith, the Company also changed the name of its wholly owned subsidiary from “Lifecore Biomedical, Inc.” to “Lifecore Biomedical Operating Company, Inc.” Unless context otherwise requires, all references to “Landec Corporation” or “Landec” contained in the Annual Report refer to the Company, and all references to “Lifecore Biomedical, Inc.,” “Lifecore Biomedical,” or “Lifecore” refer to Lifecore Biomedical Operating Company, Inc. In connection with the Name Change, the Company’s common stock began trading under its new NASDAQ ticker symbol “LFCR” on November 15, 2022.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Restatement</w:t>
      </w:r>
    </w:p>
    <w:p>
      <w:pPr>
        <w:spacing w:after="0" w:line="18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January 31, 2023, the Audit Committee (the “Audit Committee”) of the Board of Directors of the Company, after discussion with management, concluded that the Company’s previously issued audited consolidated financial statements as of and for the year ended May 29, 2022 (“Prior Financial Statements”) should no longer be relied upon and that the Company needed to restate the Prior Financial Statements. This determination resulted from the identification of errors in the Prior Financial Statements related to certain non-cash impairment charges related to the Company’s Curation Foods business contained in the Prior Financial Statements.</w:t>
      </w:r>
    </w:p>
    <w:p>
      <w:pPr>
        <w:spacing w:after="0" w:line="14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has assessed the materiality of these errors in accordance with the U.S. Securities and Exchange Commission Staff Accounting Bulletin No. 99 (“SAB”), Materiality and SAB No. 108, Quantifying Financial Statement Misstatements, and has concluded that the Prior Financial Statements should be restated.</w:t>
      </w:r>
    </w:p>
    <w:p>
      <w:pPr>
        <w:spacing w:after="0" w:line="1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addition, and as disclosed in the Company’s Annual Report on Form 10-K for the year ended May 29, 2022, Landec Corporation had previously restated (the “Prior Q3 Interim Financial Statements Restatement”) its (i) unaudited consolidated balance sheets as of February 27, 2022 and May 30, 2021, (ii) unaudited consolidated statement of comprehensive (loss) income for the three and nine months ended February 27, 2022, (iii) unaudited consolidated statement of cash flows for the nine months ended February 27, 2022, (iv) unaudited consolidated statement of changes in stockholders' equity, and unaudited notes related thereto, as previously reported in our Quarterly Report on Form 10-Q for the third quarter period ended February 27, 2022 (the “Q3 Interim Financial Statements”).</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Prior Q3 Interim Financial Statements Restatement results from corrections by the Company primarily related to:</w:t>
      </w:r>
    </w:p>
    <w:p>
      <w:pPr>
        <w:spacing w:after="0" w:line="178" w:lineRule="exact"/>
        <w:rPr>
          <w:sz w:val="20"/>
          <w:szCs w:val="20"/>
          <w:color w:val="auto"/>
        </w:rPr>
      </w:pPr>
    </w:p>
    <w:p>
      <w:pPr>
        <w:jc w:val="both"/>
        <w:ind w:firstLine="622"/>
        <w:spacing w:after="0" w:line="262" w:lineRule="auto"/>
        <w:tabs>
          <w:tab w:leader="none" w:pos="829"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classification of certain expenses and the recording of accruals related to the Company’s recent disposition activities and the Company’s corporate transition of Landec Corporation to Lifecore Biomedical, which were classified incorrectly as restructuring expenses from continuing operations in our Q3 Interim Financial Statements, but which the Company corrected by classifying as selling, general and administrative expenses, and cost of goods sold within continuing operations;</w:t>
      </w:r>
    </w:p>
    <w:p>
      <w:pPr>
        <w:spacing w:after="0" w:line="139" w:lineRule="exact"/>
        <w:rPr>
          <w:rFonts w:ascii="Arial" w:cs="Arial" w:eastAsia="Arial" w:hAnsi="Arial"/>
          <w:sz w:val="17"/>
          <w:szCs w:val="17"/>
          <w:color w:val="auto"/>
        </w:rPr>
      </w:pPr>
    </w:p>
    <w:p>
      <w:pPr>
        <w:ind w:firstLine="622"/>
        <w:spacing w:after="0" w:line="279" w:lineRule="auto"/>
        <w:tabs>
          <w:tab w:leader="none" w:pos="878"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treatment of the fees received and costs incurred by the Company pursuant to the transition services agreement related to the sale of the Curation Foods’ Eat Smart business (the “TSA”), for which the Company had incorrectly recognized</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of the TSA fees received and costs incurred as loss on sale of Eat Smart within discontinued operations, but for which the Company corrected by classifying the TSA fees received by the Company within transition services income and the TSA costs incurred by the Company as selling, general and administrative expenses within continuing operations; and</w:t>
      </w:r>
    </w:p>
    <w:p>
      <w:pPr>
        <w:spacing w:after="0" w:line="136" w:lineRule="exact"/>
        <w:rPr>
          <w:sz w:val="20"/>
          <w:szCs w:val="20"/>
          <w:color w:val="auto"/>
        </w:rPr>
      </w:pPr>
    </w:p>
    <w:p>
      <w:pPr>
        <w:jc w:val="both"/>
        <w:ind w:firstLine="622"/>
        <w:spacing w:after="0" w:line="266"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classification of certain costs and expenses related to the Company’s recent disposition activities and the Company’s corporate transition of Landec Corporation to Lifecore Biomedical, which were incorrectly classified as loss on sale of Eat Smart within discontinued operations, but which the Company corrected by classifying as selling, general and administrative expenses within continuing operations.</w:t>
      </w:r>
    </w:p>
    <w:p>
      <w:pPr>
        <w:spacing w:after="0" w:line="13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had assessed the materiality of these corrections in accordance with the U.S. Securities and Exchange Commission Staff Accounting Bulletin (“SAB”) No. 99, Materiality and SAB No. 108, Quantifying Financial Statement Misstatements, and concluded that the Q3 Interim Financial Statements should be restated.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Restatement Overview</w:t>
      </w:r>
    </w:p>
    <w:p>
      <w:pPr>
        <w:spacing w:after="0" w:line="184"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For a more detailed description of the financial impact of the Restatement, see Note 1 - Correction of Error in Previously Reported Fiscal Year 2022 Annual Financial Statements, to the audited consolidated financial statements contained in this Annual Report on Form 10-K/A. The corrections regarding the Prior Q3 Interim Financial Statements Restatement and the presentation of the Q3 Interim Financial Statements are reflected in Note 14 - Correction of Error in Previously Reported Fiscal Year 2022 Interim Financial Statements (Unaudited) to our consolidated financial statements included in Part IV, Item 15 of this Annual Report on Form 10-K/A. Note 14 is repeated, unchanged, from what previously was reported in Note 1 - Correction of Error in Previously Reported Fiscal Year 2022 Annual Financial Statements to our consolidated financial statements included in Part IV, Item 15 of the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Controls Considerations</w:t>
      </w:r>
    </w:p>
    <w:p>
      <w:pPr>
        <w:spacing w:after="0" w:line="197"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In connection with the Restatement described above, management has determined that there was a material weakness in the Company's design and operation of controls related to the assessment of recoverability and measurement of fair value of certain indefinite-lived and long-lived assets, as of May 29, 2022. This is in addition to the existing material weakness in the design and operation of controls related to the accounting for and classification of certain non-standard</w:t>
      </w:r>
    </w:p>
    <w:p>
      <w:pPr>
        <w:sectPr>
          <w:pgSz w:w="11900" w:h="16838" w:orient="portrait"/>
          <w:cols w:equalWidth="0" w:num="1">
            <w:col w:w="11240"/>
          </w:cols>
          <w:pgMar w:left="320" w:top="295" w:right="339" w:bottom="0" w:gutter="0" w:footer="0" w:header="0"/>
        </w:sectPr>
      </w:pPr>
    </w:p>
    <w:bookmarkStart w:id="3" w:name="page4"/>
    <w:bookmarkEnd w:id="3"/>
    <w:p>
      <w:pPr>
        <w:jc w:val="both"/>
        <w:spacing w:after="0" w:line="266" w:lineRule="auto"/>
        <w:rPr>
          <w:sz w:val="20"/>
          <w:szCs w:val="20"/>
          <w:color w:val="auto"/>
        </w:rPr>
      </w:pPr>
      <w:r>
        <w:rPr>
          <w:rFonts w:ascii="Arial" w:cs="Arial" w:eastAsia="Arial" w:hAnsi="Arial"/>
          <w:sz w:val="17"/>
          <w:szCs w:val="17"/>
          <w:color w:val="auto"/>
        </w:rPr>
        <w:t>transactions, which included discontinued operations and restructuring costs, as of May 29, 2022. For a discussion of management’s considerations of the Company’s disclosures controls and procedures, internal controls over financial reporting, and material weakness identified, refer to “Controls and Procedures” in Part II, Item 9A of this Annual Report on Form 10-K/A.</w:t>
      </w:r>
    </w:p>
    <w:p>
      <w:pPr>
        <w:spacing w:after="0" w:line="13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Pursuant to Rule 12b-15 promulgated under the Securities Act of 1934, as amended (the “Exchange Act”), this Amendment also contains new certifications by our principal executive officer and principal financial officer, as required by Section 302 of the Sarbanes-Oxley Act of 2002.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 addition, in connection with the preparation of this Form 10-K/A, the Company has evaluated its financial condition as of the Amended Filing Date. Based on this evaluation, the Company has determined that, as of the Amended Filing Date, the existence of certain conditions and events raise substantial doubt about the Company’s ability to continue as a going concern within one year following the Amended Filing Date. The assessment of going concern is further discussed under “Part I, Item 1. Business ─ Overview”, “Part I, Item 1A. Risk Factors”, “Part II, Item 7. Management’s Discussion and Analysis of Financial Condition and Results of Operations — Going Concern” and “─ Liquidity and Capital Resources.”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Changes in this Annual Report on Form 10-K/A</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connection with the restatement of the foregoing, the Company, in this Amendment:</w:t>
      </w:r>
    </w:p>
    <w:p>
      <w:pPr>
        <w:spacing w:after="0" w:line="24" w:lineRule="exact"/>
        <w:rPr>
          <w:sz w:val="20"/>
          <w:szCs w:val="20"/>
          <w:color w:val="auto"/>
        </w:rPr>
      </w:pPr>
    </w:p>
    <w:p>
      <w:pPr>
        <w:ind w:left="1000" w:hanging="301"/>
        <w:spacing w:after="0" w:line="261"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restated the audited consolidated financial statements as of and for the year ended May 29, 2022, in Note 1 Organization, Basis of Presentation, and Summary of Significant Accounting Policies, in Part IV, Item 15 of this Annual Report on Form 10-K/A;</w:t>
      </w:r>
    </w:p>
    <w:p>
      <w:pPr>
        <w:ind w:left="1000" w:hanging="301"/>
        <w:spacing w:after="0" w:line="269"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restated the Q3 Interim Financial Statements, in Note 14 Correction of Error in Previously Reported Fiscal Year 2022 Interim Financial Statements (Unaudited), and Summary of Significant Accounting Policies, in Part IV, Item 15 of this Annual Report on Form 10-K/A;</w:t>
      </w:r>
    </w:p>
    <w:p>
      <w:pPr>
        <w:ind w:left="1000" w:hanging="301"/>
        <w:spacing w:after="0" w:line="261"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updated the risk factors relating to its material weakness in its internal control over financial reporting and its ability to continue as a going concern in Item 1A. of this Annual Report on Form 10-K/A;</w:t>
      </w:r>
    </w:p>
    <w:p>
      <w:pPr>
        <w:ind w:left="1000" w:hanging="301"/>
        <w:spacing w:after="0" w:line="261"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updated its cautionary note about forward-looking statements in connection with statements regarding the Company’s ability to continue as a going concern;</w:t>
      </w:r>
    </w:p>
    <w:p>
      <w:pPr>
        <w:jc w:val="both"/>
        <w:ind w:left="1000" w:hanging="301"/>
        <w:spacing w:after="0" w:line="263"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added “Part II, Item 7. Management’s Discussion and Analysis of Financial Condition and Results of Operations — Going Concern” and updated “Part II, Item 7. Management’s Discussion and Analysis of Financial Condition and Results of Operations — Liquidity and Capital Resources” to reflect its determination as to its ability to continue as a going concern; and</w:t>
      </w:r>
    </w:p>
    <w:p>
      <w:pPr>
        <w:spacing w:after="0" w:line="1" w:lineRule="exact"/>
        <w:rPr>
          <w:rFonts w:ascii="Arial" w:cs="Arial" w:eastAsia="Arial" w:hAnsi="Arial"/>
          <w:sz w:val="17"/>
          <w:szCs w:val="17"/>
          <w:color w:val="auto"/>
        </w:rPr>
      </w:pPr>
    </w:p>
    <w:p>
      <w:pPr>
        <w:ind w:left="1000" w:hanging="301"/>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updated its disclosures regarding its controls and procedures in Part II, Item 9A. of this Annual Report on Form 10-K/A.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ind w:left="4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LIFECORE BIOMEDICAL, INC.</w:t>
      </w:r>
    </w:p>
    <w:p>
      <w:pPr>
        <w:spacing w:after="0" w:line="28"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ANNUAL REPORT ON FORM 10-K/A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80" w:type="dxa"/>
            <w:vAlign w:val="bottom"/>
            <w:gridSpan w:val="8"/>
          </w:tcPr>
          <w:p>
            <w:pPr>
              <w:ind w:left="40"/>
              <w:spacing w:after="0"/>
              <w:rPr>
                <w:sz w:val="20"/>
                <w:szCs w:val="20"/>
                <w:color w:val="auto"/>
              </w:rPr>
            </w:pPr>
            <w:r>
              <w:rPr>
                <w:rFonts w:ascii="Arial" w:cs="Arial" w:eastAsia="Arial" w:hAnsi="Arial"/>
                <w:sz w:val="17"/>
                <w:szCs w:val="17"/>
                <w:color w:val="auto"/>
              </w:rPr>
              <w:t>TABLE OF CONTENTS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840" w:type="dxa"/>
            <w:vAlign w:val="bottom"/>
            <w:gridSpan w:val="11"/>
          </w:tcPr>
          <w:p>
            <w:pPr>
              <w:jc w:val="center"/>
              <w:ind w:right="220"/>
              <w:spacing w:after="0"/>
              <w:rPr>
                <w:sz w:val="20"/>
                <w:szCs w:val="20"/>
                <w:color w:val="auto"/>
              </w:rPr>
            </w:pPr>
            <w:r>
              <w:rPr>
                <w:rFonts w:ascii="Arial" w:cs="Arial" w:eastAsia="Arial" w:hAnsi="Arial"/>
                <w:sz w:val="17"/>
                <w:szCs w:val="17"/>
                <w:color w:val="auto"/>
                <w:w w:val="96"/>
              </w:rPr>
              <w:t>Item No.</w:t>
            </w:r>
          </w:p>
        </w:tc>
        <w:tc>
          <w:tcPr>
            <w:tcW w:w="9860" w:type="dxa"/>
            <w:vAlign w:val="bottom"/>
            <w:gridSpan w:val="20"/>
          </w:tcPr>
          <w:p>
            <w:pPr>
              <w:spacing w:after="0"/>
              <w:rPr>
                <w:sz w:val="20"/>
                <w:szCs w:val="20"/>
                <w:color w:val="auto"/>
              </w:rPr>
            </w:pPr>
            <w:r>
              <w:rPr>
                <w:rFonts w:ascii="Arial" w:cs="Arial" w:eastAsia="Arial" w:hAnsi="Arial"/>
                <w:sz w:val="17"/>
                <w:szCs w:val="17"/>
                <w:color w:val="auto"/>
              </w:rPr>
              <w:t>Description</w:t>
            </w:r>
          </w:p>
        </w:tc>
        <w:tc>
          <w:tcPr>
            <w:tcW w:w="320" w:type="dxa"/>
            <w:vAlign w:val="bottom"/>
            <w:gridSpan w:val="3"/>
          </w:tcPr>
          <w:p>
            <w:pPr>
              <w:jc w:val="right"/>
              <w:spacing w:after="0"/>
              <w:rPr>
                <w:sz w:val="20"/>
                <w:szCs w:val="20"/>
                <w:color w:val="auto"/>
              </w:rPr>
            </w:pPr>
            <w:r>
              <w:rPr>
                <w:rFonts w:ascii="Arial" w:cs="Arial" w:eastAsia="Arial" w:hAnsi="Arial"/>
                <w:sz w:val="17"/>
                <w:szCs w:val="17"/>
                <w:color w:val="auto"/>
                <w:w w:val="75"/>
              </w:rPr>
              <w:t>Page</w:t>
            </w:r>
          </w:p>
        </w:tc>
      </w:tr>
      <w:tr>
        <w:trPr>
          <w:trHeight w:val="251"/>
        </w:trPr>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3"/>
              </w:rPr>
              <w:t>Explanatory Note</w:t>
            </w:r>
          </w:p>
        </w:tc>
        <w:tc>
          <w:tcPr>
            <w:tcW w:w="8600" w:type="dxa"/>
            <w:vAlign w:val="bottom"/>
            <w:gridSpan w:val="15"/>
          </w:tcPr>
          <w:p>
            <w:pPr>
              <w:spacing w:after="0"/>
              <w:rPr>
                <w:sz w:val="21"/>
                <w:szCs w:val="21"/>
                <w:color w:val="auto"/>
              </w:rPr>
            </w:pPr>
          </w:p>
        </w:tc>
        <w:tc>
          <w:tcPr>
            <w:tcW w:w="240" w:type="dxa"/>
            <w:vAlign w:val="bottom"/>
            <w:tcBorders>
              <w:top w:val="single" w:sz="8" w:color="auto"/>
            </w:tcBorders>
            <w:gridSpan w:val="2"/>
          </w:tcPr>
          <w:p>
            <w:pPr>
              <w:spacing w:after="0"/>
              <w:rPr>
                <w:sz w:val="21"/>
                <w:szCs w:val="21"/>
                <w:color w:val="auto"/>
              </w:rPr>
            </w:pPr>
          </w:p>
        </w:tc>
        <w:tc>
          <w:tcPr>
            <w:tcW w:w="80" w:type="dxa"/>
            <w:vAlign w:val="bottom"/>
            <w:tcBorders>
              <w:top w:val="single" w:sz="8" w:color="auto"/>
              <w:bottom w:val="single" w:sz="8" w:color="0000FF"/>
            </w:tcBorders>
          </w:tcPr>
          <w:p>
            <w:pPr>
              <w:jc w:val="right"/>
              <w:spacing w:after="0"/>
              <w:rPr>
                <w:sz w:val="20"/>
                <w:szCs w:val="20"/>
                <w:color w:val="auto"/>
              </w:rPr>
            </w:pPr>
            <w:r>
              <w:rPr>
                <w:rFonts w:ascii="Arial" w:cs="Arial" w:eastAsia="Arial" w:hAnsi="Arial"/>
                <w:sz w:val="15"/>
                <w:szCs w:val="15"/>
                <w:color w:val="0000FF"/>
                <w:w w:val="71"/>
              </w:rPr>
              <w:t>1</w:t>
            </w:r>
          </w:p>
        </w:tc>
      </w:tr>
      <w:tr>
        <w:trPr>
          <w:trHeight w:val="199"/>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60" w:type="dxa"/>
            <w:vAlign w:val="bottom"/>
            <w:gridSpan w:val="20"/>
          </w:tcPr>
          <w:p>
            <w:pPr>
              <w:spacing w:after="0"/>
              <w:rPr>
                <w:sz w:val="20"/>
                <w:szCs w:val="20"/>
                <w:color w:val="auto"/>
              </w:rPr>
            </w:pPr>
            <w:r>
              <w:rPr>
                <w:rFonts w:ascii="Arial" w:cs="Arial" w:eastAsia="Arial" w:hAnsi="Arial"/>
                <w:sz w:val="17"/>
                <w:szCs w:val="17"/>
                <w:color w:val="0000FF"/>
              </w:rPr>
              <w:t>Cautionary Note About Forward-Looking Statements</w:t>
            </w: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1</w:t>
            </w:r>
          </w:p>
        </w:tc>
      </w:tr>
      <w:tr>
        <w:trPr>
          <w:trHeight w:val="199"/>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8"/>
          </w:tcPr>
          <w:p>
            <w:pPr>
              <w:jc w:val="center"/>
              <w:ind w:right="340"/>
              <w:spacing w:after="0"/>
              <w:rPr>
                <w:sz w:val="20"/>
                <w:szCs w:val="20"/>
                <w:color w:val="auto"/>
              </w:rPr>
            </w:pPr>
            <w:r>
              <w:rPr>
                <w:rFonts w:ascii="Arial" w:cs="Arial" w:eastAsia="Arial" w:hAnsi="Arial"/>
                <w:sz w:val="17"/>
                <w:szCs w:val="17"/>
                <w:color w:val="0000FF"/>
                <w:w w:val="93"/>
              </w:rPr>
              <w:t>Part I</w:t>
            </w:r>
          </w:p>
        </w:tc>
        <w:tc>
          <w:tcPr>
            <w:tcW w:w="6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199"/>
        </w:trPr>
        <w:tc>
          <w:tcPr>
            <w:tcW w:w="120" w:type="dxa"/>
            <w:vAlign w:val="bottom"/>
            <w:gridSpan w:val="3"/>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98"/>
              </w:rPr>
              <w:t>1.</w:t>
            </w: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60" w:type="dxa"/>
            <w:vAlign w:val="bottom"/>
            <w:gridSpan w:val="20"/>
          </w:tcPr>
          <w:p>
            <w:pPr>
              <w:spacing w:after="0"/>
              <w:rPr>
                <w:sz w:val="20"/>
                <w:szCs w:val="20"/>
                <w:color w:val="auto"/>
              </w:rPr>
            </w:pPr>
            <w:r>
              <w:rPr>
                <w:rFonts w:ascii="Arial" w:cs="Arial" w:eastAsia="Arial" w:hAnsi="Arial"/>
                <w:sz w:val="17"/>
                <w:szCs w:val="17"/>
                <w:color w:val="0000FF"/>
              </w:rPr>
              <w:t>Business</w:t>
            </w: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1</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8"/>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7"/>
                <w:szCs w:val="17"/>
                <w:color w:val="0000FF"/>
                <w:w w:val="78"/>
              </w:rPr>
              <w:t>1A.</w:t>
            </w:r>
          </w:p>
        </w:tc>
        <w:tc>
          <w:tcPr>
            <w:tcW w:w="380" w:type="dxa"/>
            <w:vAlign w:val="bottom"/>
            <w:gridSpan w:val="5"/>
          </w:tcPr>
          <w:p>
            <w:pPr>
              <w:spacing w:after="0"/>
              <w:rPr>
                <w:sz w:val="24"/>
                <w:szCs w:val="24"/>
                <w:color w:val="auto"/>
              </w:rPr>
            </w:pPr>
          </w:p>
        </w:tc>
        <w:tc>
          <w:tcPr>
            <w:tcW w:w="9860" w:type="dxa"/>
            <w:vAlign w:val="bottom"/>
            <w:gridSpan w:val="20"/>
          </w:tcPr>
          <w:p>
            <w:pPr>
              <w:spacing w:after="0"/>
              <w:rPr>
                <w:sz w:val="20"/>
                <w:szCs w:val="20"/>
                <w:color w:val="auto"/>
              </w:rPr>
            </w:pPr>
            <w:r>
              <w:rPr>
                <w:rFonts w:ascii="Arial" w:cs="Arial" w:eastAsia="Arial" w:hAnsi="Arial"/>
                <w:sz w:val="17"/>
                <w:szCs w:val="17"/>
                <w:color w:val="0000FF"/>
              </w:rPr>
              <w:t>Risk Factors</w:t>
            </w: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7</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8"/>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0000FF"/>
                <w:w w:val="78"/>
              </w:rPr>
              <w:t>1B.</w:t>
            </w:r>
          </w:p>
        </w:tc>
        <w:tc>
          <w:tcPr>
            <w:tcW w:w="80" w:type="dxa"/>
            <w:vAlign w:val="bottom"/>
          </w:tcPr>
          <w:p>
            <w:pPr>
              <w:spacing w:after="0"/>
              <w:rPr>
                <w:sz w:val="24"/>
                <w:szCs w:val="24"/>
                <w:color w:val="auto"/>
              </w:rPr>
            </w:pPr>
          </w:p>
        </w:tc>
        <w:tc>
          <w:tcPr>
            <w:tcW w:w="380" w:type="dxa"/>
            <w:vAlign w:val="bottom"/>
            <w:gridSpan w:val="5"/>
          </w:tcPr>
          <w:p>
            <w:pPr>
              <w:spacing w:after="0"/>
              <w:rPr>
                <w:sz w:val="24"/>
                <w:szCs w:val="24"/>
                <w:color w:val="auto"/>
              </w:rPr>
            </w:pPr>
          </w:p>
        </w:tc>
        <w:tc>
          <w:tcPr>
            <w:tcW w:w="1960" w:type="dxa"/>
            <w:vAlign w:val="bottom"/>
            <w:gridSpan w:val="8"/>
          </w:tcPr>
          <w:p>
            <w:pPr>
              <w:spacing w:after="0"/>
              <w:rPr>
                <w:sz w:val="20"/>
                <w:szCs w:val="20"/>
                <w:color w:val="auto"/>
              </w:rPr>
            </w:pPr>
            <w:r>
              <w:rPr>
                <w:rFonts w:ascii="Arial" w:cs="Arial" w:eastAsia="Arial" w:hAnsi="Arial"/>
                <w:sz w:val="17"/>
                <w:szCs w:val="17"/>
                <w:color w:val="0000FF"/>
                <w:w w:val="91"/>
              </w:rPr>
              <w:t>Unresolved Staff Comments</w:t>
            </w:r>
          </w:p>
        </w:tc>
        <w:tc>
          <w:tcPr>
            <w:tcW w:w="7900" w:type="dxa"/>
            <w:vAlign w:val="bottom"/>
            <w:gridSpan w:val="12"/>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21</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18"/>
        </w:trPr>
        <w:tc>
          <w:tcPr>
            <w:tcW w:w="240" w:type="dxa"/>
            <w:vAlign w:val="bottom"/>
            <w:gridSpan w:val="4"/>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0000FF"/>
                <w:w w:val="98"/>
              </w:rPr>
              <w:t>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7"/>
                <w:szCs w:val="17"/>
                <w:color w:val="0000FF"/>
                <w:w w:val="85"/>
              </w:rPr>
              <w:t>Properties</w:t>
            </w:r>
          </w:p>
        </w:tc>
        <w:tc>
          <w:tcPr>
            <w:tcW w:w="1260" w:type="dxa"/>
            <w:vAlign w:val="bottom"/>
            <w:gridSpan w:val="6"/>
          </w:tcPr>
          <w:p>
            <w:pPr>
              <w:spacing w:after="0"/>
              <w:rPr>
                <w:sz w:val="24"/>
                <w:szCs w:val="24"/>
                <w:color w:val="auto"/>
              </w:rPr>
            </w:pPr>
          </w:p>
        </w:tc>
        <w:tc>
          <w:tcPr>
            <w:tcW w:w="7900" w:type="dxa"/>
            <w:vAlign w:val="bottom"/>
            <w:gridSpan w:val="12"/>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21</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240" w:type="dxa"/>
            <w:vAlign w:val="bottom"/>
            <w:gridSpan w:val="4"/>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0000FF"/>
                <w:w w:val="98"/>
              </w:rPr>
              <w:t>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5"/>
          </w:tcPr>
          <w:p>
            <w:pPr>
              <w:spacing w:after="0"/>
              <w:rPr>
                <w:sz w:val="20"/>
                <w:szCs w:val="20"/>
                <w:color w:val="auto"/>
              </w:rPr>
            </w:pPr>
            <w:r>
              <w:rPr>
                <w:rFonts w:ascii="Arial" w:cs="Arial" w:eastAsia="Arial" w:hAnsi="Arial"/>
                <w:sz w:val="17"/>
                <w:szCs w:val="17"/>
                <w:color w:val="0000FF"/>
                <w:w w:val="86"/>
              </w:rPr>
              <w:t>Legal Proceedings</w:t>
            </w:r>
          </w:p>
        </w:tc>
        <w:tc>
          <w:tcPr>
            <w:tcW w:w="8600" w:type="dxa"/>
            <w:vAlign w:val="bottom"/>
            <w:gridSpan w:val="15"/>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21</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240" w:type="dxa"/>
            <w:vAlign w:val="bottom"/>
            <w:gridSpan w:val="4"/>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0000FF"/>
                <w:w w:val="98"/>
              </w:rPr>
              <w:t>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60" w:type="dxa"/>
            <w:vAlign w:val="bottom"/>
            <w:gridSpan w:val="20"/>
          </w:tcPr>
          <w:p>
            <w:pPr>
              <w:spacing w:after="0"/>
              <w:rPr>
                <w:sz w:val="20"/>
                <w:szCs w:val="20"/>
                <w:color w:val="auto"/>
              </w:rPr>
            </w:pPr>
            <w:r>
              <w:rPr>
                <w:rFonts w:ascii="Arial" w:cs="Arial" w:eastAsia="Arial" w:hAnsi="Arial"/>
                <w:sz w:val="17"/>
                <w:szCs w:val="17"/>
                <w:color w:val="0000FF"/>
              </w:rPr>
              <w:t>Mine Safety Disclosures</w:t>
            </w: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21</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60" w:type="dxa"/>
            <w:vAlign w:val="bottom"/>
          </w:tcPr>
          <w:p>
            <w:pPr>
              <w:spacing w:after="0"/>
              <w:rPr>
                <w:sz w:val="21"/>
                <w:szCs w:val="21"/>
                <w:color w:val="auto"/>
              </w:rPr>
            </w:pPr>
          </w:p>
        </w:tc>
        <w:tc>
          <w:tcPr>
            <w:tcW w:w="780" w:type="dxa"/>
            <w:vAlign w:val="bottom"/>
            <w:gridSpan w:val="10"/>
          </w:tcPr>
          <w:p>
            <w:pPr>
              <w:jc w:val="center"/>
              <w:ind w:right="280"/>
              <w:spacing w:after="0"/>
              <w:rPr>
                <w:sz w:val="20"/>
                <w:szCs w:val="20"/>
                <w:color w:val="auto"/>
              </w:rPr>
            </w:pPr>
            <w:r>
              <w:rPr>
                <w:rFonts w:ascii="Arial" w:cs="Arial" w:eastAsia="Arial" w:hAnsi="Arial"/>
                <w:sz w:val="17"/>
                <w:szCs w:val="17"/>
                <w:color w:val="0000FF"/>
                <w:w w:val="92"/>
              </w:rPr>
              <w:t>Part II</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9"/>
        </w:trPr>
        <w:tc>
          <w:tcPr>
            <w:tcW w:w="100" w:type="dxa"/>
            <w:vAlign w:val="bottom"/>
            <w:gridSpan w:val="2"/>
          </w:tcPr>
          <w:p>
            <w:pPr>
              <w:spacing w:after="0"/>
              <w:rPr>
                <w:sz w:val="17"/>
                <w:szCs w:val="17"/>
                <w:color w:val="auto"/>
              </w:rPr>
            </w:pPr>
          </w:p>
        </w:tc>
        <w:tc>
          <w:tcPr>
            <w:tcW w:w="140" w:type="dxa"/>
            <w:vAlign w:val="bottom"/>
            <w:tcBorders>
              <w:top w:val="single" w:sz="8" w:color="0000FF"/>
            </w:tcBorders>
            <w:gridSpan w:val="2"/>
          </w:tcPr>
          <w:p>
            <w:pPr>
              <w:spacing w:after="0"/>
              <w:rPr>
                <w:sz w:val="17"/>
                <w:szCs w:val="17"/>
                <w:color w:val="auto"/>
              </w:rPr>
            </w:pPr>
          </w:p>
        </w:tc>
        <w:tc>
          <w:tcPr>
            <w:tcW w:w="14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98"/>
              </w:rPr>
              <w:t>5.</w:t>
            </w: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60" w:type="dxa"/>
            <w:vAlign w:val="bottom"/>
            <w:gridSpan w:val="20"/>
          </w:tcPr>
          <w:p>
            <w:pPr>
              <w:spacing w:after="0"/>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22</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240" w:type="dxa"/>
            <w:vAlign w:val="bottom"/>
            <w:gridSpan w:val="4"/>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0000FF"/>
                <w:w w:val="98"/>
              </w:rPr>
              <w:t>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tcPr>
          <w:p>
            <w:pPr>
              <w:spacing w:after="0"/>
              <w:rPr>
                <w:sz w:val="20"/>
                <w:szCs w:val="20"/>
                <w:color w:val="auto"/>
              </w:rPr>
            </w:pPr>
            <w:r>
              <w:rPr>
                <w:rFonts w:ascii="Arial" w:cs="Arial" w:eastAsia="Arial" w:hAnsi="Arial"/>
                <w:sz w:val="17"/>
                <w:szCs w:val="17"/>
                <w:color w:val="0000FF"/>
                <w:w w:val="80"/>
              </w:rPr>
              <w:t>[Reserved]</w:t>
            </w:r>
          </w:p>
        </w:tc>
        <w:tc>
          <w:tcPr>
            <w:tcW w:w="7000" w:type="dxa"/>
            <w:vAlign w:val="bottom"/>
            <w:gridSpan w:val="17"/>
          </w:tcPr>
          <w:p>
            <w:pPr>
              <w:spacing w:after="0"/>
              <w:rPr>
                <w:sz w:val="21"/>
                <w:szCs w:val="21"/>
                <w:color w:val="auto"/>
              </w:rPr>
            </w:pPr>
          </w:p>
        </w:tc>
        <w:tc>
          <w:tcPr>
            <w:tcW w:w="21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22</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240" w:type="dxa"/>
            <w:vAlign w:val="bottom"/>
            <w:gridSpan w:val="4"/>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0000FF"/>
                <w:w w:val="98"/>
              </w:rPr>
              <w:t>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60" w:type="dxa"/>
            <w:vAlign w:val="bottom"/>
            <w:gridSpan w:val="20"/>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22</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7"/>
                <w:szCs w:val="17"/>
                <w:color w:val="0000FF"/>
                <w:w w:val="78"/>
              </w:rPr>
              <w:t>7A.</w:t>
            </w:r>
          </w:p>
        </w:tc>
        <w:tc>
          <w:tcPr>
            <w:tcW w:w="380" w:type="dxa"/>
            <w:vAlign w:val="bottom"/>
            <w:gridSpan w:val="5"/>
          </w:tcPr>
          <w:p>
            <w:pPr>
              <w:spacing w:after="0"/>
              <w:rPr>
                <w:sz w:val="21"/>
                <w:szCs w:val="21"/>
                <w:color w:val="auto"/>
              </w:rPr>
            </w:pPr>
          </w:p>
        </w:tc>
        <w:tc>
          <w:tcPr>
            <w:tcW w:w="4100" w:type="dxa"/>
            <w:vAlign w:val="bottom"/>
            <w:gridSpan w:val="14"/>
          </w:tcPr>
          <w:p>
            <w:pPr>
              <w:spacing w:after="0"/>
              <w:rPr>
                <w:sz w:val="20"/>
                <w:szCs w:val="20"/>
                <w:color w:val="auto"/>
              </w:rPr>
            </w:pPr>
            <w:r>
              <w:rPr>
                <w:rFonts w:ascii="Arial" w:cs="Arial" w:eastAsia="Arial" w:hAnsi="Arial"/>
                <w:sz w:val="17"/>
                <w:szCs w:val="17"/>
                <w:color w:val="0000FF"/>
                <w:w w:val="91"/>
              </w:rPr>
              <w:t>Quantitative and Qualitative Disclosures About Market Risk</w:t>
            </w:r>
          </w:p>
        </w:tc>
        <w:tc>
          <w:tcPr>
            <w:tcW w:w="5760" w:type="dxa"/>
            <w:vAlign w:val="bottom"/>
            <w:gridSpan w:val="6"/>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37</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240" w:type="dxa"/>
            <w:vAlign w:val="bottom"/>
            <w:gridSpan w:val="4"/>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0000FF"/>
                <w:w w:val="98"/>
              </w:rPr>
              <w:t>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11"/>
          </w:tcPr>
          <w:p>
            <w:pPr>
              <w:spacing w:after="0"/>
              <w:rPr>
                <w:sz w:val="20"/>
                <w:szCs w:val="20"/>
                <w:color w:val="auto"/>
              </w:rPr>
            </w:pPr>
            <w:r>
              <w:rPr>
                <w:rFonts w:ascii="Arial" w:cs="Arial" w:eastAsia="Arial" w:hAnsi="Arial"/>
                <w:sz w:val="17"/>
                <w:szCs w:val="17"/>
                <w:color w:val="0000FF"/>
                <w:w w:val="89"/>
              </w:rPr>
              <w:t>Financial Statements and Supplementary Data</w:t>
            </w:r>
          </w:p>
        </w:tc>
        <w:tc>
          <w:tcPr>
            <w:tcW w:w="920" w:type="dxa"/>
            <w:vAlign w:val="bottom"/>
            <w:gridSpan w:val="3"/>
          </w:tcPr>
          <w:p>
            <w:pPr>
              <w:spacing w:after="0"/>
              <w:rPr>
                <w:sz w:val="21"/>
                <w:szCs w:val="21"/>
                <w:color w:val="auto"/>
              </w:rPr>
            </w:pPr>
          </w:p>
        </w:tc>
        <w:tc>
          <w:tcPr>
            <w:tcW w:w="5760" w:type="dxa"/>
            <w:vAlign w:val="bottom"/>
            <w:gridSpan w:val="6"/>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38</w:t>
            </w:r>
          </w:p>
        </w:tc>
      </w:tr>
      <w:tr>
        <w:trPr>
          <w:trHeight w:val="20"/>
        </w:trPr>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240" w:type="dxa"/>
            <w:vAlign w:val="bottom"/>
            <w:gridSpan w:val="4"/>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0000FF"/>
                <w:w w:val="98"/>
              </w:rPr>
              <w:t>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60" w:type="dxa"/>
            <w:vAlign w:val="bottom"/>
            <w:gridSpan w:val="20"/>
          </w:tcPr>
          <w:p>
            <w:pPr>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38</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7"/>
                <w:szCs w:val="17"/>
                <w:color w:val="0000FF"/>
                <w:w w:val="78"/>
              </w:rPr>
              <w:t>9A.</w:t>
            </w:r>
          </w:p>
        </w:tc>
        <w:tc>
          <w:tcPr>
            <w:tcW w:w="380" w:type="dxa"/>
            <w:vAlign w:val="bottom"/>
            <w:gridSpan w:val="5"/>
          </w:tcPr>
          <w:p>
            <w:pPr>
              <w:spacing w:after="0"/>
              <w:rPr>
                <w:sz w:val="21"/>
                <w:szCs w:val="21"/>
                <w:color w:val="auto"/>
              </w:rPr>
            </w:pPr>
          </w:p>
        </w:tc>
        <w:tc>
          <w:tcPr>
            <w:tcW w:w="9860" w:type="dxa"/>
            <w:vAlign w:val="bottom"/>
            <w:gridSpan w:val="20"/>
          </w:tcPr>
          <w:p>
            <w:pPr>
              <w:spacing w:after="0"/>
              <w:rPr>
                <w:sz w:val="20"/>
                <w:szCs w:val="20"/>
                <w:color w:val="auto"/>
              </w:rPr>
            </w:pPr>
            <w:r>
              <w:rPr>
                <w:rFonts w:ascii="Arial" w:cs="Arial" w:eastAsia="Arial" w:hAnsi="Arial"/>
                <w:sz w:val="17"/>
                <w:szCs w:val="17"/>
                <w:color w:val="0000FF"/>
              </w:rPr>
              <w:t>Controls and Procedures</w:t>
            </w: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38</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0000FF"/>
                <w:w w:val="78"/>
              </w:rPr>
              <w:t>9B.</w:t>
            </w:r>
          </w:p>
        </w:tc>
        <w:tc>
          <w:tcPr>
            <w:tcW w:w="80" w:type="dxa"/>
            <w:vAlign w:val="bottom"/>
          </w:tcPr>
          <w:p>
            <w:pPr>
              <w:spacing w:after="0"/>
              <w:rPr>
                <w:sz w:val="21"/>
                <w:szCs w:val="21"/>
                <w:color w:val="auto"/>
              </w:rPr>
            </w:pPr>
          </w:p>
        </w:tc>
        <w:tc>
          <w:tcPr>
            <w:tcW w:w="380" w:type="dxa"/>
            <w:vAlign w:val="bottom"/>
            <w:gridSpan w:val="5"/>
          </w:tcPr>
          <w:p>
            <w:pPr>
              <w:spacing w:after="0"/>
              <w:rPr>
                <w:sz w:val="21"/>
                <w:szCs w:val="21"/>
                <w:color w:val="auto"/>
              </w:rPr>
            </w:pPr>
          </w:p>
        </w:tc>
        <w:tc>
          <w:tcPr>
            <w:tcW w:w="1260" w:type="dxa"/>
            <w:vAlign w:val="bottom"/>
            <w:gridSpan w:val="5"/>
          </w:tcPr>
          <w:p>
            <w:pPr>
              <w:spacing w:after="0"/>
              <w:rPr>
                <w:sz w:val="20"/>
                <w:szCs w:val="20"/>
                <w:color w:val="auto"/>
              </w:rPr>
            </w:pPr>
            <w:r>
              <w:rPr>
                <w:rFonts w:ascii="Arial" w:cs="Arial" w:eastAsia="Arial" w:hAnsi="Arial"/>
                <w:sz w:val="17"/>
                <w:szCs w:val="17"/>
                <w:color w:val="0000FF"/>
                <w:w w:val="92"/>
              </w:rPr>
              <w:t>Other Information</w:t>
            </w:r>
          </w:p>
        </w:tc>
        <w:tc>
          <w:tcPr>
            <w:tcW w:w="420" w:type="dxa"/>
            <w:vAlign w:val="bottom"/>
          </w:tcPr>
          <w:p>
            <w:pPr>
              <w:spacing w:after="0"/>
              <w:rPr>
                <w:sz w:val="21"/>
                <w:szCs w:val="21"/>
                <w:color w:val="auto"/>
              </w:rPr>
            </w:pPr>
          </w:p>
        </w:tc>
        <w:tc>
          <w:tcPr>
            <w:tcW w:w="8180" w:type="dxa"/>
            <w:vAlign w:val="bottom"/>
            <w:gridSpan w:val="14"/>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40</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0000FF"/>
                <w:w w:val="75"/>
              </w:rPr>
              <w:t>9C.</w:t>
            </w:r>
          </w:p>
        </w:tc>
        <w:tc>
          <w:tcPr>
            <w:tcW w:w="460" w:type="dxa"/>
            <w:vAlign w:val="bottom"/>
            <w:gridSpan w:val="6"/>
          </w:tcPr>
          <w:p>
            <w:pPr>
              <w:spacing w:after="0"/>
              <w:rPr>
                <w:sz w:val="21"/>
                <w:szCs w:val="21"/>
                <w:color w:val="auto"/>
              </w:rPr>
            </w:pPr>
          </w:p>
        </w:tc>
        <w:tc>
          <w:tcPr>
            <w:tcW w:w="4100" w:type="dxa"/>
            <w:vAlign w:val="bottom"/>
            <w:gridSpan w:val="14"/>
          </w:tcPr>
          <w:p>
            <w:pPr>
              <w:spacing w:after="0"/>
              <w:rPr>
                <w:sz w:val="20"/>
                <w:szCs w:val="20"/>
                <w:color w:val="auto"/>
              </w:rPr>
            </w:pPr>
            <w:r>
              <w:rPr>
                <w:rFonts w:ascii="Arial" w:cs="Arial" w:eastAsia="Arial" w:hAnsi="Arial"/>
                <w:sz w:val="17"/>
                <w:szCs w:val="17"/>
                <w:color w:val="0000FF"/>
                <w:w w:val="90"/>
              </w:rPr>
              <w:t>Disclosure Regarding Jurisdictions that Prevent Inspections</w:t>
            </w:r>
          </w:p>
        </w:tc>
        <w:tc>
          <w:tcPr>
            <w:tcW w:w="5760" w:type="dxa"/>
            <w:vAlign w:val="bottom"/>
            <w:gridSpan w:val="6"/>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40</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60" w:type="dxa"/>
            <w:vAlign w:val="bottom"/>
          </w:tcPr>
          <w:p>
            <w:pPr>
              <w:spacing w:after="0"/>
              <w:rPr>
                <w:sz w:val="21"/>
                <w:szCs w:val="21"/>
                <w:color w:val="auto"/>
              </w:rPr>
            </w:pPr>
          </w:p>
        </w:tc>
        <w:tc>
          <w:tcPr>
            <w:tcW w:w="500" w:type="dxa"/>
            <w:vAlign w:val="bottom"/>
            <w:tcBorders>
              <w:bottom w:val="single" w:sz="8" w:color="0000FF"/>
            </w:tcBorders>
            <w:gridSpan w:val="8"/>
          </w:tcPr>
          <w:p>
            <w:pPr>
              <w:jc w:val="center"/>
              <w:spacing w:after="0"/>
              <w:rPr>
                <w:sz w:val="20"/>
                <w:szCs w:val="20"/>
                <w:color w:val="auto"/>
              </w:rPr>
            </w:pPr>
            <w:r>
              <w:rPr>
                <w:rFonts w:ascii="Arial" w:cs="Arial" w:eastAsia="Arial" w:hAnsi="Arial"/>
                <w:sz w:val="17"/>
                <w:szCs w:val="17"/>
                <w:color w:val="0000FF"/>
                <w:w w:val="99"/>
              </w:rPr>
              <w:t>Part III</w:t>
            </w:r>
          </w:p>
        </w:tc>
        <w:tc>
          <w:tcPr>
            <w:tcW w:w="28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9"/>
        </w:trPr>
        <w:tc>
          <w:tcPr>
            <w:tcW w:w="380" w:type="dxa"/>
            <w:vAlign w:val="bottom"/>
            <w:gridSpan w:val="5"/>
          </w:tcPr>
          <w:p>
            <w:pPr>
              <w:jc w:val="center"/>
              <w:ind w:left="74"/>
              <w:spacing w:after="0"/>
              <w:rPr>
                <w:sz w:val="20"/>
                <w:szCs w:val="20"/>
                <w:color w:val="auto"/>
              </w:rPr>
            </w:pPr>
            <w:r>
              <w:rPr>
                <w:rFonts w:ascii="Arial" w:cs="Arial" w:eastAsia="Arial" w:hAnsi="Arial"/>
                <w:sz w:val="17"/>
                <w:szCs w:val="17"/>
                <w:color w:val="0000FF"/>
                <w:w w:val="92"/>
              </w:rPr>
              <w:t>10.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60" w:type="dxa"/>
            <w:vAlign w:val="bottom"/>
            <w:gridSpan w:val="20"/>
          </w:tcPr>
          <w:p>
            <w:pPr>
              <w:spacing w:after="0"/>
              <w:rPr>
                <w:sz w:val="20"/>
                <w:szCs w:val="20"/>
                <w:color w:val="auto"/>
              </w:rPr>
            </w:pPr>
            <w:r>
              <w:rPr>
                <w:rFonts w:ascii="Arial" w:cs="Arial" w:eastAsia="Arial" w:hAnsi="Arial"/>
                <w:sz w:val="17"/>
                <w:szCs w:val="17"/>
                <w:color w:val="0000FF"/>
              </w:rPr>
              <w:t>Directors, Executive Officers and Corporate Governance</w:t>
            </w: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41</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380" w:type="dxa"/>
            <w:vAlign w:val="bottom"/>
            <w:gridSpan w:val="5"/>
          </w:tcPr>
          <w:p>
            <w:pPr>
              <w:jc w:val="center"/>
              <w:ind w:left="74"/>
              <w:spacing w:after="0"/>
              <w:rPr>
                <w:sz w:val="20"/>
                <w:szCs w:val="20"/>
                <w:color w:val="auto"/>
              </w:rPr>
            </w:pPr>
            <w:r>
              <w:rPr>
                <w:rFonts w:ascii="Arial" w:cs="Arial" w:eastAsia="Arial" w:hAnsi="Arial"/>
                <w:sz w:val="17"/>
                <w:szCs w:val="17"/>
                <w:color w:val="0000FF"/>
                <w:w w:val="92"/>
              </w:rPr>
              <w:t>11.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60" w:type="dxa"/>
            <w:vAlign w:val="bottom"/>
            <w:gridSpan w:val="20"/>
          </w:tcPr>
          <w:p>
            <w:pPr>
              <w:spacing w:after="0"/>
              <w:rPr>
                <w:sz w:val="20"/>
                <w:szCs w:val="20"/>
                <w:color w:val="auto"/>
              </w:rPr>
            </w:pPr>
            <w:r>
              <w:rPr>
                <w:rFonts w:ascii="Arial" w:cs="Arial" w:eastAsia="Arial" w:hAnsi="Arial"/>
                <w:sz w:val="17"/>
                <w:szCs w:val="17"/>
                <w:color w:val="0000FF"/>
              </w:rPr>
              <w:t>Executive Compensation</w:t>
            </w: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41</w:t>
            </w:r>
          </w:p>
        </w:tc>
      </w:tr>
      <w:tr>
        <w:trPr>
          <w:trHeight w:val="20"/>
        </w:trPr>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380" w:type="dxa"/>
            <w:vAlign w:val="bottom"/>
            <w:gridSpan w:val="5"/>
          </w:tcPr>
          <w:p>
            <w:pPr>
              <w:jc w:val="center"/>
              <w:ind w:left="74"/>
              <w:spacing w:after="0"/>
              <w:rPr>
                <w:sz w:val="20"/>
                <w:szCs w:val="20"/>
                <w:color w:val="auto"/>
              </w:rPr>
            </w:pPr>
            <w:r>
              <w:rPr>
                <w:rFonts w:ascii="Arial" w:cs="Arial" w:eastAsia="Arial" w:hAnsi="Arial"/>
                <w:sz w:val="17"/>
                <w:szCs w:val="17"/>
                <w:color w:val="0000FF"/>
                <w:w w:val="92"/>
              </w:rPr>
              <w:t>12.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60" w:type="dxa"/>
            <w:vAlign w:val="bottom"/>
            <w:gridSpan w:val="20"/>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41</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380" w:type="dxa"/>
            <w:vAlign w:val="bottom"/>
            <w:gridSpan w:val="5"/>
          </w:tcPr>
          <w:p>
            <w:pPr>
              <w:jc w:val="center"/>
              <w:ind w:left="74"/>
              <w:spacing w:after="0"/>
              <w:rPr>
                <w:sz w:val="20"/>
                <w:szCs w:val="20"/>
                <w:color w:val="auto"/>
              </w:rPr>
            </w:pPr>
            <w:r>
              <w:rPr>
                <w:rFonts w:ascii="Arial" w:cs="Arial" w:eastAsia="Arial" w:hAnsi="Arial"/>
                <w:sz w:val="17"/>
                <w:szCs w:val="17"/>
                <w:color w:val="0000FF"/>
                <w:w w:val="92"/>
              </w:rPr>
              <w:t>13.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60" w:type="dxa"/>
            <w:vAlign w:val="bottom"/>
            <w:gridSpan w:val="20"/>
          </w:tcPr>
          <w:p>
            <w:pPr>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41</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18"/>
        </w:trPr>
        <w:tc>
          <w:tcPr>
            <w:tcW w:w="380" w:type="dxa"/>
            <w:vAlign w:val="bottom"/>
            <w:gridSpan w:val="5"/>
          </w:tcPr>
          <w:p>
            <w:pPr>
              <w:jc w:val="center"/>
              <w:ind w:left="74"/>
              <w:spacing w:after="0"/>
              <w:rPr>
                <w:sz w:val="20"/>
                <w:szCs w:val="20"/>
                <w:color w:val="auto"/>
              </w:rPr>
            </w:pPr>
            <w:r>
              <w:rPr>
                <w:rFonts w:ascii="Arial" w:cs="Arial" w:eastAsia="Arial" w:hAnsi="Arial"/>
                <w:sz w:val="17"/>
                <w:szCs w:val="17"/>
                <w:color w:val="0000FF"/>
                <w:w w:val="92"/>
              </w:rPr>
              <w:t>14.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60" w:type="dxa"/>
            <w:vAlign w:val="bottom"/>
            <w:gridSpan w:val="20"/>
          </w:tcPr>
          <w:p>
            <w:pPr>
              <w:spacing w:after="0"/>
              <w:rPr>
                <w:sz w:val="20"/>
                <w:szCs w:val="20"/>
                <w:color w:val="auto"/>
              </w:rPr>
            </w:pPr>
            <w:r>
              <w:rPr>
                <w:rFonts w:ascii="Arial" w:cs="Arial" w:eastAsia="Arial" w:hAnsi="Arial"/>
                <w:sz w:val="17"/>
                <w:szCs w:val="17"/>
                <w:color w:val="0000FF"/>
              </w:rPr>
              <w:t>Principal Accountant Fees and Services</w:t>
            </w: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41</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60" w:type="dxa"/>
            <w:vAlign w:val="bottom"/>
          </w:tcPr>
          <w:p>
            <w:pPr>
              <w:spacing w:after="0"/>
              <w:rPr>
                <w:sz w:val="21"/>
                <w:szCs w:val="21"/>
                <w:color w:val="auto"/>
              </w:rPr>
            </w:pPr>
          </w:p>
        </w:tc>
        <w:tc>
          <w:tcPr>
            <w:tcW w:w="780" w:type="dxa"/>
            <w:vAlign w:val="bottom"/>
            <w:gridSpan w:val="10"/>
          </w:tcPr>
          <w:p>
            <w:pPr>
              <w:jc w:val="center"/>
              <w:ind w:right="280"/>
              <w:spacing w:after="0"/>
              <w:rPr>
                <w:sz w:val="20"/>
                <w:szCs w:val="20"/>
                <w:color w:val="auto"/>
              </w:rPr>
            </w:pPr>
            <w:r>
              <w:rPr>
                <w:rFonts w:ascii="Arial" w:cs="Arial" w:eastAsia="Arial" w:hAnsi="Arial"/>
                <w:sz w:val="17"/>
                <w:szCs w:val="17"/>
                <w:color w:val="0000FF"/>
                <w:w w:val="96"/>
              </w:rPr>
              <w:t>Part IV</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9"/>
        </w:trPr>
        <w:tc>
          <w:tcPr>
            <w:tcW w:w="60" w:type="dxa"/>
            <w:vAlign w:val="bottom"/>
          </w:tcPr>
          <w:p>
            <w:pPr>
              <w:spacing w:after="0"/>
              <w:rPr>
                <w:sz w:val="17"/>
                <w:szCs w:val="17"/>
                <w:color w:val="auto"/>
              </w:rPr>
            </w:pPr>
          </w:p>
        </w:tc>
        <w:tc>
          <w:tcPr>
            <w:tcW w:w="320" w:type="dxa"/>
            <w:vAlign w:val="bottom"/>
            <w:tcBorders>
              <w:top w:val="single" w:sz="8" w:color="0000FF"/>
            </w:tcBorders>
            <w:gridSpan w:val="4"/>
          </w:tcPr>
          <w:p>
            <w:pPr>
              <w:jc w:val="center"/>
              <w:ind w:left="14"/>
              <w:spacing w:after="0"/>
              <w:rPr>
                <w:sz w:val="20"/>
                <w:szCs w:val="20"/>
                <w:color w:val="auto"/>
              </w:rPr>
            </w:pPr>
            <w:r>
              <w:rPr>
                <w:rFonts w:ascii="Arial" w:cs="Arial" w:eastAsia="Arial" w:hAnsi="Arial"/>
                <w:sz w:val="17"/>
                <w:szCs w:val="17"/>
                <w:color w:val="0000FF"/>
                <w:w w:val="92"/>
              </w:rPr>
              <w:t>15.</w:t>
            </w: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60" w:type="dxa"/>
            <w:vAlign w:val="bottom"/>
            <w:gridSpan w:val="20"/>
          </w:tcPr>
          <w:p>
            <w:pPr>
              <w:spacing w:after="0"/>
              <w:rPr>
                <w:sz w:val="20"/>
                <w:szCs w:val="20"/>
                <w:color w:val="auto"/>
              </w:rPr>
            </w:pPr>
            <w:r>
              <w:rPr>
                <w:rFonts w:ascii="Arial" w:cs="Arial" w:eastAsia="Arial" w:hAnsi="Arial"/>
                <w:sz w:val="17"/>
                <w:szCs w:val="17"/>
                <w:color w:val="0000FF"/>
              </w:rPr>
              <w:t>Exhibits and Financial Statement Schedules</w:t>
            </w:r>
          </w:p>
        </w:tc>
        <w:tc>
          <w:tcPr>
            <w:tcW w:w="320" w:type="dxa"/>
            <w:vAlign w:val="bottom"/>
            <w:gridSpan w:val="3"/>
          </w:tcPr>
          <w:p>
            <w:pPr>
              <w:jc w:val="right"/>
              <w:spacing w:after="0"/>
              <w:rPr>
                <w:sz w:val="20"/>
                <w:szCs w:val="20"/>
                <w:color w:val="auto"/>
              </w:rPr>
            </w:pPr>
            <w:r>
              <w:rPr>
                <w:rFonts w:ascii="Arial" w:cs="Arial" w:eastAsia="Arial" w:hAnsi="Arial"/>
                <w:sz w:val="17"/>
                <w:szCs w:val="17"/>
                <w:color w:val="0000FF"/>
              </w:rPr>
              <w:t>42</w:t>
            </w: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520" w:top="295" w:right="359" w:bottom="1440" w:gutter="0" w:footer="0" w:header="0"/>
        </w:sectPr>
      </w:pPr>
    </w:p>
    <w:bookmarkStart w:id="5" w:name="page6"/>
    <w:bookmarkEnd w:id="5"/>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Cautionary Note About Forward-Looking Statements</w:t>
      </w:r>
    </w:p>
    <w:p>
      <w:pPr>
        <w:spacing w:after="0" w:line="197"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This Annual Report on Form 10-K/A, including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Words such as “anticipate”, “estimate”, “expect”, “project”, “plan”, “intend”, “believe”, “may”, “might”, “will”, “should”, “can have”, “likely” and similar expressions are used to identify forward-looking statements. All forward-looking statements are subject to risks and uncertainties that may cause actual results to differ materially from those that we expected. Potential risks and uncertainties include, without limitation, the timing and expenses associated with operations, the ability to achieve acceptance of our new products in the market place, weather conditions that can affect the supply and price of produce, government regulations affecting our business, uncertainties related to COVID-19 and the impact of our responses to it, the timing of regulatory approvals, our ability to continue as a going concern, the mix between domestic and international sales, and those other risks mentioned in Item 1A. “Risk Factors” of this report.</w:t>
      </w:r>
    </w:p>
    <w:p>
      <w:pPr>
        <w:spacing w:after="0" w:line="13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derive many of our forward-looking statements from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 Accordingly, our actual results could differ materially from those projected in the forward-looking statements for many reasons, including the risk factors listed in Item 1A. “Risk Factors” of this report.</w:t>
      </w:r>
    </w:p>
    <w:p>
      <w:pPr>
        <w:spacing w:after="0" w:line="13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All forward-looking statements attributable to us are expressly qualified in their entirety by these cautionary statements as well as others made in this report and hereafter in our other SEC filings and public communications.</w:t>
      </w:r>
    </w:p>
    <w:p>
      <w:pPr>
        <w:spacing w:after="0" w:line="13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You should evaluate all forward-looking statements made by us in the context of all risks and uncertainties described with respect to our business. We caution you that the risks and uncertainties identified by us may not be all of the factors that are important to you. Furthermore, the forward-looking statements included in this report are made only as of the date of the Original 10-K. We undertake no obligation to publicly update or revise any forward-looking statement as a result of new information, future events or otherwise, except as otherwise required by law.</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PART I</w:t>
      </w:r>
    </w:p>
    <w:p>
      <w:pPr>
        <w:spacing w:after="0" w:line="24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Overview</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Landec Corporation and its subsidiaries (“Landec,” the “Company”, "we" or "us") design, develop, manufacture, and sell differentiated products for biomaterials and food markets, and license technology applications to partners.</w:t>
      </w:r>
    </w:p>
    <w:p>
      <w:pPr>
        <w:spacing w:after="0" w:line="13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On August 10, 2022, Landec formally announced that we will become a CDMO-focused life sciences company with a planned corporate rebranding including renaming the Company to Lifecore Biomedical and exploring potential sales opportunities of the Company’s remaining Curation Foods assets.</w:t>
      </w:r>
    </w:p>
    <w:p>
      <w:pPr>
        <w:spacing w:after="0" w:line="10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Landec’s biomedical company, Lifecore Biomedical, Inc. (“Lifecore”), is a fully integrated contract development and manufacturing organization (“CDMO”) that offers highly differentiated capabilities in the development, fill and finish of sterile, injectable pharmaceutical products in syringes and vials. As a leading manufacturer of premium, injectable grade Hyaluronic Acid, Lifecore brings 37 years of expertise as a partner for global and emerging biopharmaceutical and biotechnology companies across multiple therapeutic categories to bring their innovations to market.</w:t>
      </w:r>
    </w:p>
    <w:p>
      <w:pPr>
        <w:spacing w:after="0" w:line="13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Landec’s natural food company, Curation Foods, Inc. (“Curation Foods”) is focused on innovating and distributing plant-based foods with 100% clean ingredients to retail, club and foodservice channels throughout North America.</w:t>
      </w:r>
    </w:p>
    <w:p>
      <w:pPr>
        <w:spacing w:after="0" w:line="13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Landec was incorporated in California on October 31, 1986 and reincorporated as a Delaware corporation on November 6, 2008. Landec’s common stock is listed on the NASDAQ Global Select Market under the symbol “LFCR”. The Company’s principal executive offices are located at 3515 Lyman Boulevard, Chaska, Minnesota 55318, and the telephone number is (952) 368-4300.</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Landec has three reportable business segments – Lifecore, Curation Foods, and Other, which are described below.</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 w:name="page7"/>
    <w:bookmarkEnd w:id="6"/>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Lifecore Biomedical</w:t>
      </w:r>
    </w:p>
    <w:p>
      <w:pPr>
        <w:spacing w:after="0" w:line="249"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Lifecore, located in Chaska, Minnesota, is a fully integrated CDMO that offers highly differentiated capabilities in the development, fill and finish of sterile, injectable pharmaceutical products in syringes and vials. It is involved in the manufacture of pharmaceutical-grade sodium hyaluronate (“HA”) in bulk form as well as formulated and filled syringes and vials for injectable products used in treating a broad spectrum of medical conditions and procedures. Lifecore uses its fermentation process and aseptic formulation and filling expertise to be a leader in the development of HA-based products for multiple applications and to take advantage of non-HA device and drug opportunities which leverage its expertise in manufacturing and aseptic syringe filling capabilities.</w:t>
      </w:r>
    </w:p>
    <w:p>
      <w:pPr>
        <w:spacing w:after="0" w:line="17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Lifecore CDMO provides product development services to its partners for HA-based, as well as non-HA based, aseptically formulated and filled products. These services include activities such as technology development, material component changes, analytical method development, formulation development, pilot studies, stability studies, process validation and production of materials for clinical studies.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Built over many years of experience, Lifecore separates itself from its competition based on its five areas of expertise, including but not limited to</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Lifecore’s ability to:</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Establish strategic relationships with market leaders:</w:t>
      </w:r>
    </w:p>
    <w:p>
      <w:pPr>
        <w:spacing w:after="0" w:line="22" w:lineRule="exact"/>
        <w:rPr>
          <w:sz w:val="20"/>
          <w:szCs w:val="20"/>
          <w:color w:val="auto"/>
        </w:rPr>
      </w:pPr>
    </w:p>
    <w:p>
      <w:pPr>
        <w:jc w:val="both"/>
        <w:ind w:left="620"/>
        <w:spacing w:after="0" w:line="257" w:lineRule="auto"/>
        <w:rPr>
          <w:sz w:val="20"/>
          <w:szCs w:val="20"/>
          <w:color w:val="auto"/>
        </w:rPr>
      </w:pPr>
      <w:r>
        <w:rPr>
          <w:rFonts w:ascii="Arial" w:cs="Arial" w:eastAsia="Arial" w:hAnsi="Arial"/>
          <w:sz w:val="17"/>
          <w:szCs w:val="17"/>
          <w:color w:val="auto"/>
        </w:rPr>
        <w:t>Lifecore continues to develop applications for products with partners who have strong marketing, sales, and distribution capabilities to end-user markets. Through its strong reputation and history of providing pharmaceutical grade HA and products, Lifecore has established long-term relationships with global and emerging biopharmaceutical and biotechnology companies across multiple therapeutic categories, and leverages those partnerships to attract new relationships in other medical markets.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Expand medical applications for HA</w:t>
      </w:r>
      <w:r>
        <w:rPr>
          <w:rFonts w:ascii="Arial" w:cs="Arial" w:eastAsia="Arial" w:hAnsi="Arial"/>
          <w:sz w:val="17"/>
          <w:szCs w:val="17"/>
          <w:b w:val="1"/>
          <w:bCs w:val="1"/>
          <w:color w:val="auto"/>
        </w:rPr>
        <w:t>:</w:t>
      </w:r>
    </w:p>
    <w:p>
      <w:pPr>
        <w:spacing w:after="0" w:line="55" w:lineRule="exact"/>
        <w:rPr>
          <w:sz w:val="20"/>
          <w:szCs w:val="20"/>
          <w:color w:val="auto"/>
        </w:rPr>
      </w:pPr>
    </w:p>
    <w:p>
      <w:pPr>
        <w:jc w:val="both"/>
        <w:ind w:left="620"/>
        <w:spacing w:after="0" w:line="283" w:lineRule="auto"/>
        <w:rPr>
          <w:sz w:val="20"/>
          <w:szCs w:val="20"/>
          <w:color w:val="auto"/>
        </w:rPr>
      </w:pPr>
      <w:r>
        <w:rPr>
          <w:rFonts w:ascii="Arial" w:cs="Arial" w:eastAsia="Arial" w:hAnsi="Arial"/>
          <w:sz w:val="16"/>
          <w:szCs w:val="16"/>
          <w:color w:val="auto"/>
        </w:rPr>
        <w:t>Due to the growing knowledge of the unique characteristics of HA and Lifecore’s unique strength and history as a trusted manufacturer of pharmaceutical injectable grade HA products, Lifecore continues to identify and pursue opportunities for the use of HA in other medical applications, such as wound care, aesthetic surgery, drug delivery, next generation orthopedics and device coatings, and through sales to academic and corporate research customers. Further applications may involve expanding process development activity and/or additional licensing of technology.</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Utilize manufacturing infrastructure to meet customer demand</w:t>
      </w:r>
      <w:r>
        <w:rPr>
          <w:rFonts w:ascii="Arial" w:cs="Arial" w:eastAsia="Arial" w:hAnsi="Arial"/>
          <w:sz w:val="17"/>
          <w:szCs w:val="17"/>
          <w:b w:val="1"/>
          <w:bCs w:val="1"/>
          <w:color w:val="auto"/>
        </w:rPr>
        <w:t>:</w:t>
      </w:r>
    </w:p>
    <w:p>
      <w:pPr>
        <w:spacing w:after="0" w:line="28" w:lineRule="exact"/>
        <w:rPr>
          <w:sz w:val="20"/>
          <w:szCs w:val="20"/>
          <w:color w:val="auto"/>
        </w:rPr>
      </w:pPr>
    </w:p>
    <w:p>
      <w:pPr>
        <w:jc w:val="both"/>
        <w:ind w:left="620"/>
        <w:spacing w:after="0" w:line="257" w:lineRule="auto"/>
        <w:rPr>
          <w:sz w:val="20"/>
          <w:szCs w:val="20"/>
          <w:color w:val="auto"/>
        </w:rPr>
      </w:pPr>
      <w:r>
        <w:rPr>
          <w:rFonts w:ascii="Arial" w:cs="Arial" w:eastAsia="Arial" w:hAnsi="Arial"/>
          <w:sz w:val="17"/>
          <w:szCs w:val="17"/>
          <w:color w:val="auto"/>
        </w:rPr>
        <w:t>Lifecore has made strategic capital investments in its CDMO business focusing on extending its aseptic filling capacity and capabilities to meet increasing partner demand and to attract new contract filling opportunities outside of HA markets. Lifecore is using its manufacturing capabilities to provide contract manufacturing and development services to its partners in the area of sterile pre-filled syringes and vials, as well as fermentation and purification requirements.</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Maintain flexibility in product development and supply relationships:</w:t>
      </w:r>
    </w:p>
    <w:p>
      <w:pPr>
        <w:spacing w:after="0" w:line="22" w:lineRule="exact"/>
        <w:rPr>
          <w:sz w:val="20"/>
          <w:szCs w:val="20"/>
          <w:color w:val="auto"/>
        </w:rPr>
      </w:pPr>
    </w:p>
    <w:p>
      <w:pPr>
        <w:jc w:val="both"/>
        <w:ind w:left="620"/>
        <w:spacing w:after="0" w:line="259" w:lineRule="auto"/>
        <w:rPr>
          <w:sz w:val="20"/>
          <w:szCs w:val="20"/>
          <w:color w:val="auto"/>
        </w:rPr>
      </w:pPr>
      <w:r>
        <w:rPr>
          <w:rFonts w:ascii="Arial" w:cs="Arial" w:eastAsia="Arial" w:hAnsi="Arial"/>
          <w:sz w:val="17"/>
          <w:szCs w:val="17"/>
          <w:color w:val="auto"/>
        </w:rPr>
        <w:t>Lifecore’s vertically integrated development and manufacturing capabilities allow it to establish a variety of contractual relationships with global corporate partners. Lifecore’s role in these relationships extends from supplying HA raw materials to providing technology transfer and development services to manufacturing aseptically filled, finished sterile products, and assuming full supply chain responsibilities.</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Deliver consistent quality:</w:t>
      </w:r>
    </w:p>
    <w:p>
      <w:pPr>
        <w:spacing w:after="0" w:line="22" w:lineRule="exact"/>
        <w:rPr>
          <w:sz w:val="20"/>
          <w:szCs w:val="20"/>
          <w:color w:val="auto"/>
        </w:rPr>
      </w:pPr>
    </w:p>
    <w:p>
      <w:pPr>
        <w:jc w:val="both"/>
        <w:ind w:left="620"/>
        <w:spacing w:after="0" w:line="256" w:lineRule="auto"/>
        <w:rPr>
          <w:sz w:val="20"/>
          <w:szCs w:val="20"/>
          <w:color w:val="auto"/>
        </w:rPr>
      </w:pPr>
      <w:r>
        <w:rPr>
          <w:rFonts w:ascii="Arial" w:cs="Arial" w:eastAsia="Arial" w:hAnsi="Arial"/>
          <w:sz w:val="17"/>
          <w:szCs w:val="17"/>
          <w:color w:val="auto"/>
        </w:rPr>
        <w:t>Lifecore has built a world class quality and regulatory system that is demonstrated in its results, processes and customer relationships. With over 35 years of a superior track record with global regulatory bodies (FDA, EMA, ANVISA, etc.), Lifecore is the partner of choice for companies looking for proven experience in delivering QbD, cGMP compliance, and manufacturing excellence with pharmaceutical elegance and quality. Lifecore’s world class quality and regulatory system and excellent track record with the global regulatory bodies ensure partners that they will safely bring innovative therapies to market.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 w:name="page8"/>
    <w:bookmarkEnd w:id="7"/>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Curation Foods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Curation Foods Overview</w:t>
      </w:r>
    </w:p>
    <w:p>
      <w:pPr>
        <w:spacing w:after="0" w:line="17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 xml:space="preserve">Based in Santa Maria, California, Curation Foods’ primary business is the processing, marketing and selling of guacamole, avocado products, and olive oils and wine vinegars. Curation Foods serves as the corporate umbrella for its portfolio of three natural food brands, </w:t>
      </w:r>
      <w:r>
        <w:rPr>
          <w:rFonts w:ascii="Arial" w:cs="Arial" w:eastAsia="Arial" w:hAnsi="Arial"/>
          <w:sz w:val="17"/>
          <w:szCs w:val="17"/>
          <w:i w:val="1"/>
          <w:iCs w:val="1"/>
          <w:color w:val="auto"/>
        </w:rPr>
        <w:t>O</w:t>
      </w:r>
      <w:r>
        <w:rPr>
          <w:rFonts w:ascii="Arial" w:cs="Arial" w:eastAsia="Arial" w:hAnsi="Arial"/>
          <w:sz w:val="17"/>
          <w:szCs w:val="17"/>
          <w:color w:val="auto"/>
        </w:rPr>
        <w:t xml:space="preserve"> Olive Oil &amp; Vinegar® products, and Yucatan® and Cabo Fresh® authentic guacamole and avocado products. We believe that the major distinguishing characteristics of Curation Foods that provide competitive advantage are insight driven product innovation, diversified fresh food supply chain, refrigerated supply chain and customer reach. We believe that Curation Foods is well positioned as a single source of a broad range of its products.</w:t>
      </w:r>
    </w:p>
    <w:p>
      <w:pPr>
        <w:spacing w:after="0" w:line="157"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On December 13, 2021 (the “Closing Date”), Landec and Curation Foods (together, the “Sellers”), and Taylor Farms Retail, Inc. (“Taylor Farms” and together with the Sellers, the “Parties”) completed the sale (the “Eat Smart Disposition”) of Curation Foods’ Eat Smart business, including its salad and cut vegetable businesses (the “Business”), pursuant to the terms of an asset purchase agreement executed by the Parties on December 13, 2021 (the “Asset Purchase Agreement”). Pursuant to the Asset Purchase Agreement, Taylor Farms acquired the Business for a purchase price of $73.5 million in cash, subject to post-closing adjustments based upon net working capital at the Closing Date. As part of the Eat Smart Disposition, Taylor Farms acquired, among other assets related to the Business, the manufacturing facility and warehouses (and corresponding equipment) located in Bowling Green, Ohio and Guadalupe, California, as well as inventory, accounts receivable and accounts payable, intellectual property and information related to the Business, and assumed certain liabilities and executory obligations under the Company’s and Curation Foods’ outstanding contracts related to the Business, in each case, subject to the terms of the Asset Purchase Agreement.</w:t>
      </w:r>
    </w:p>
    <w:p>
      <w:pPr>
        <w:spacing w:after="0" w:line="14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 xml:space="preserve">Following the Eat Smart Disposition, as well as the BreatheWay and Yucatan sales subsequent to fiscal year end, Curation Foods retains its </w:t>
      </w:r>
      <w:r>
        <w:rPr>
          <w:rFonts w:ascii="Arial" w:cs="Arial" w:eastAsia="Arial" w:hAnsi="Arial"/>
          <w:sz w:val="17"/>
          <w:szCs w:val="17"/>
          <w:i w:val="1"/>
          <w:iCs w:val="1"/>
          <w:color w:val="auto"/>
        </w:rPr>
        <w:t>O</w:t>
      </w:r>
      <w:r>
        <w:rPr>
          <w:rFonts w:ascii="Arial" w:cs="Arial" w:eastAsia="Arial" w:hAnsi="Arial"/>
          <w:sz w:val="17"/>
          <w:szCs w:val="17"/>
          <w:color w:val="auto"/>
        </w:rPr>
        <w:t xml:space="preserve"> Olive business, and the Company retains its Lifecore business.</w:t>
      </w:r>
    </w:p>
    <w:p>
      <w:pPr>
        <w:spacing w:after="0" w:line="12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a result of the Eat Smart Disposition, the Company met the requirements of ASC 205-20, to report the results of the Eat Smart business as a discontinued operation. Accordingly, the operating results for the Eat Smart business have been reclassified as a discontinued operation within these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Curation Foods Brands</w:t>
      </w:r>
    </w:p>
    <w:p>
      <w:pPr>
        <w:spacing w:after="0" w:line="17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 xml:space="preserve">O Olive Oil &amp; Vinegar </w:t>
      </w:r>
      <w:r>
        <w:rPr>
          <w:rFonts w:ascii="Arial" w:cs="Arial" w:eastAsia="Arial" w:hAnsi="Arial"/>
          <w:sz w:val="17"/>
          <w:szCs w:val="17"/>
          <w:color w:val="auto"/>
        </w:rPr>
        <w:t>("</w:t>
      </w:r>
      <w:r>
        <w:rPr>
          <w:rFonts w:ascii="Arial" w:cs="Arial" w:eastAsia="Arial" w:hAnsi="Arial"/>
          <w:sz w:val="17"/>
          <w:szCs w:val="17"/>
          <w:i w:val="1"/>
          <w:iCs w:val="1"/>
          <w:color w:val="auto"/>
        </w:rPr>
        <w:t>O</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acquired</w:t>
      </w:r>
      <w:r>
        <w:rPr>
          <w:rFonts w:ascii="Arial" w:cs="Arial" w:eastAsia="Arial" w:hAnsi="Arial"/>
          <w:sz w:val="17"/>
          <w:szCs w:val="17"/>
          <w:i w:val="1"/>
          <w:iCs w:val="1"/>
          <w:color w:val="auto"/>
        </w:rPr>
        <w:t xml:space="preserve"> O </w:t>
      </w:r>
      <w:r>
        <w:rPr>
          <w:rFonts w:ascii="Arial" w:cs="Arial" w:eastAsia="Arial" w:hAnsi="Arial"/>
          <w:sz w:val="17"/>
          <w:szCs w:val="17"/>
          <w:color w:val="auto"/>
        </w:rPr>
        <w:t>on March 1, 2017.</w:t>
      </w:r>
      <w:r>
        <w:rPr>
          <w:rFonts w:ascii="Arial" w:cs="Arial" w:eastAsia="Arial" w:hAnsi="Arial"/>
          <w:sz w:val="17"/>
          <w:szCs w:val="17"/>
          <w:i w:val="1"/>
          <w:iCs w:val="1"/>
          <w:color w:val="auto"/>
        </w:rPr>
        <w:t xml:space="preserve"> O</w:t>
      </w:r>
      <w:r>
        <w:rPr>
          <w:rFonts w:ascii="Arial" w:cs="Arial" w:eastAsia="Arial" w:hAnsi="Arial"/>
          <w:sz w:val="17"/>
          <w:szCs w:val="17"/>
          <w:color w:val="auto"/>
        </w:rPr>
        <w:t>, founded in 1995, is based in Petaluma, California, and is the premier</w:t>
      </w:r>
      <w:r>
        <w:rPr>
          <w:rFonts w:ascii="Arial" w:cs="Arial" w:eastAsia="Arial" w:hAnsi="Arial"/>
          <w:sz w:val="17"/>
          <w:szCs w:val="17"/>
          <w:i w:val="1"/>
          <w:iCs w:val="1"/>
          <w:color w:val="auto"/>
        </w:rPr>
        <w:t xml:space="preserve"> </w:t>
      </w:r>
      <w:r>
        <w:rPr>
          <w:rFonts w:ascii="Arial" w:cs="Arial" w:eastAsia="Arial" w:hAnsi="Arial"/>
          <w:sz w:val="17"/>
          <w:szCs w:val="17"/>
          <w:color w:val="auto"/>
        </w:rPr>
        <w:t>producer of California specialty olive oils and wine vinegars. Its products are sold in natural food, conventional grocery and mass retail stores, primarily in the United States and Canada.</w:t>
      </w:r>
    </w:p>
    <w:p>
      <w:pPr>
        <w:spacing w:after="0" w:line="17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i w:val="1"/>
          <w:iCs w:val="1"/>
          <w:color w:val="auto"/>
        </w:rPr>
        <w:t xml:space="preserve">Yucatan &amp; Cabo Fresh Avocado Products: </w:t>
      </w:r>
      <w:r>
        <w:rPr>
          <w:rFonts w:ascii="Arial" w:cs="Arial" w:eastAsia="Arial" w:hAnsi="Arial"/>
          <w:sz w:val="17"/>
          <w:szCs w:val="17"/>
          <w:color w:val="auto"/>
        </w:rPr>
        <w:t>The Company acquired Yucatan Foods on December 1, 2018. Yucatan Foods was founded in 1991. As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acquisition of Yucatan Foods, Curation Foods acquired the newly built production facility in Guanajuato, Mexico. The Yucatan Foods business added a double-digit growth platform, a lower-cost infrastructure in Mexico, and higher margin product offerings that generally exhibit less sourcing volatility. The Company manufactures and sells Yucatan and Cabo Fresh guacamole and avocado food products primarily to the U.S. grocery channel, but also to the U.S. mass retail, Canadian grocery retail and foodservice channels. Subsequent to the fiscal year ended May 29, 2022, on February 7, 2023, the Company sold its Yucatan Foods business for $17.5 million in cash.</w:t>
      </w:r>
    </w:p>
    <w:p>
      <w:pPr>
        <w:spacing w:after="0" w:line="15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BreatheWay Packaging Technology</w:t>
      </w:r>
      <w:r>
        <w:rPr>
          <w:rFonts w:ascii="Arial" w:cs="Arial" w:eastAsia="Arial" w:hAnsi="Arial"/>
          <w:sz w:val="17"/>
          <w:szCs w:val="17"/>
          <w:color w:val="auto"/>
        </w:rPr>
        <w:t>: The Company’s BreatheWay membrane technology establishes a beneficial packaging atmosphere adapting to</w:t>
      </w:r>
      <w:r>
        <w:rPr>
          <w:rFonts w:ascii="Arial" w:cs="Arial" w:eastAsia="Arial" w:hAnsi="Arial"/>
          <w:sz w:val="17"/>
          <w:szCs w:val="17"/>
          <w:i w:val="1"/>
          <w:iCs w:val="1"/>
          <w:color w:val="auto"/>
        </w:rPr>
        <w:t xml:space="preserve"> </w:t>
      </w:r>
      <w:r>
        <w:rPr>
          <w:rFonts w:ascii="Arial" w:cs="Arial" w:eastAsia="Arial" w:hAnsi="Arial"/>
          <w:sz w:val="17"/>
          <w:szCs w:val="17"/>
          <w:color w:val="auto"/>
        </w:rPr>
        <w:t>changing fresh product respiration and temperature in order to extend freshness naturally. Subsequent to the fiscal year ended May 29, 2022, on June 2, 2022, the Company sold its BreatheWay technology business for $3.2 million in cash.</w:t>
      </w:r>
    </w:p>
    <w:p>
      <w:pPr>
        <w:spacing w:after="0" w:line="13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i w:val="1"/>
          <w:iCs w:val="1"/>
          <w:color w:val="auto"/>
        </w:rPr>
        <w:t>Windset</w:t>
      </w:r>
      <w:r>
        <w:rPr>
          <w:rFonts w:ascii="Arial" w:cs="Arial" w:eastAsia="Arial" w:hAnsi="Arial"/>
          <w:sz w:val="17"/>
          <w:szCs w:val="17"/>
          <w:color w:val="auto"/>
        </w:rPr>
        <w:t>: Until June 1, 2021, the Company held a 26.9% investment ownership in Windset Holding 2010 Ltd. (“Windset”), a leading edge grower of</w:t>
      </w:r>
      <w:r>
        <w:rPr>
          <w:rFonts w:ascii="Arial" w:cs="Arial" w:eastAsia="Arial" w:hAnsi="Arial"/>
          <w:sz w:val="17"/>
          <w:szCs w:val="17"/>
          <w:i w:val="1"/>
          <w:iCs w:val="1"/>
          <w:color w:val="auto"/>
        </w:rPr>
        <w:t xml:space="preserve"> </w:t>
      </w:r>
      <w:r>
        <w:rPr>
          <w:rFonts w:ascii="Arial" w:cs="Arial" w:eastAsia="Arial" w:hAnsi="Arial"/>
          <w:sz w:val="17"/>
          <w:szCs w:val="17"/>
          <w:color w:val="auto"/>
        </w:rPr>
        <w:t>hydroponically-grown produce. Included in discontinued operations are the dividends and Landec’s share of the change in fair market value of its investment in Windset.</w:t>
      </w:r>
    </w:p>
    <w:p>
      <w:pPr>
        <w:spacing w:after="0" w:line="1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On June 1, 2021, the Company and Curation Foods sold all of its equity interests of Windset in exchange for an aggregate purchase price of $45.1 million, subject to certain adjustments.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9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Included in the Other segment is Corporate, which includes corporate general and administrative expenses, non-Lifecore and non-Curation Food interest income, interest expense, and income tax expenses.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 w:name="page9"/>
    <w:bookmarkEnd w:id="8"/>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Pandemic</w:t>
      </w:r>
    </w:p>
    <w:p>
      <w:pPr>
        <w:spacing w:after="0" w:line="184"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There are many uncertainties regarding the current novel coronavirus (“COVID-19”) pandemic, including the scope of scientific and health issues, the anticipated duration of the pandemic, and the extent of local and worldwide social, political, and economic disruption it may cause. The COVID-19 pandemic, as well as actions taken in response to the pandemic, have had and we believe will continue to have significant adverse impacts on many aspects of the Company’s operations, directly and indirectly, including with respect to sales, customer behaviors, business and manufacturing operations, inventory, the Company’s employees, and the market generally, and the scope and nature of these impacts continue to evolve each day. The Company expects to continue to assess the evolving impact of the COVID-19 pandemic, and intends to continue to make adjustments to its responses accordingly.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Lifecore relies on name recognition and referrals regarding its biomedical-based CDMO and manufacturing experience and expertise to attract new customers and offers its services with minimal marketing and sales infrastructure.</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Curation Foods is supported by dedicated sales and marketing teams located throughout the U.S. and Canada.</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Processing</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17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Lifecore is not significantly affected by seasonality. Curation Foods can be affected by seasonal weather factors, which can result in higher costs of sourcing and processing its products.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Lifecore Biomedical</w:t>
      </w:r>
    </w:p>
    <w:p>
      <w:pPr>
        <w:spacing w:after="0" w:line="19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commercial production of HA requires fermentation, separation, and purification and aseptic processing capabilities. HA can primarily be produced in two ways, either through bacterial fermentation or through extraction from rooster combs. Lifecore produces HA only from bacterial fermentation, using an efficient microbial fermentation process and an effective purification operation.</w:t>
      </w:r>
    </w:p>
    <w:p>
      <w:pPr>
        <w:spacing w:after="0" w:line="13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Lifecore’s facilities in Chaska, Minnesota are used for the HA and non-HA manufacturing process, formulation, aseptic syringe and vial filling, analytical services, secondary packaging, warehousing raw materials and finished goods, and distribution. Lifecore provides versatility in the manufacturing of various types of finished products and supplies several different forms of HA and non-HA products in a variety of molecular weight fractions as powders, solutions and gels, and in a variety of bulk and single-use finished packages. As of the date of the Original 10-K, the Company believes that its current manufacturing capacity plan will be sufficient to allow it to meet the needs of its current customers for the foreseeable future.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Curation Foods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 Olive Oil &amp; Vinegar</w:t>
      </w:r>
    </w:p>
    <w:p>
      <w:pPr>
        <w:spacing w:after="0" w:line="17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 xml:space="preserve">O </w:t>
      </w:r>
      <w:r>
        <w:rPr>
          <w:rFonts w:ascii="Arial" w:cs="Arial" w:eastAsia="Arial" w:hAnsi="Arial"/>
          <w:sz w:val="17"/>
          <w:szCs w:val="17"/>
          <w:color w:val="auto"/>
        </w:rPr>
        <w:t>uses third parties to crush, process, and bottle its olive oil products, primarily within California. The fermentation, production, and processing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vinegar is performed at the Company’s facility in Petaluma, California, using ingredients sourced from various third parties primarily within California. </w:t>
      </w:r>
      <w:r>
        <w:rPr>
          <w:rFonts w:ascii="Arial" w:cs="Arial" w:eastAsia="Arial" w:hAnsi="Arial"/>
          <w:sz w:val="17"/>
          <w:szCs w:val="17"/>
          <w:i w:val="1"/>
          <w:iCs w:val="1"/>
          <w:color w:val="auto"/>
        </w:rPr>
        <w:t>O</w:t>
      </w:r>
      <w:r>
        <w:rPr>
          <w:rFonts w:ascii="Arial" w:cs="Arial" w:eastAsia="Arial" w:hAnsi="Arial"/>
          <w:sz w:val="17"/>
          <w:szCs w:val="17"/>
          <w:color w:val="auto"/>
        </w:rPr>
        <w:t xml:space="preserve"> uses third parties in California to bottle its vinegar products.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Yucatan and Cabo Fresh</w:t>
      </w:r>
    </w:p>
    <w:p>
      <w:pPr>
        <w:spacing w:after="0" w:line="19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Guacamole for the Yucatan and Cabo Fresh brands is primarily produced and packed at the Company’s facility in Guanajuato, Mexico, using ingredients sourced from various third parties within the United States and Mexico. Subsequent to the fiscal year ended May 29, 2022, on February 7, 2023, the Company sold its Yucatan Foods business for $17.5 million in cash.</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BreatheWay</w:t>
      </w:r>
    </w:p>
    <w:p>
      <w:pPr>
        <w:spacing w:after="0" w:line="17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BreatheWay packaging systems use polymer manufacturing, membrane manufacturing, and label package conversion. Contract manufacturers make virtually all of the polymers for the BreatheWay packaging system and breathable membranes. Subsequent to the fiscal year ended May 29, 2022, on June 2, 2022, the Company sold its BreatheWay technology business for $3.2 million in cash.</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 w:name="page10"/>
    <w:bookmarkEnd w:id="9"/>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8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operates in highly competitive and rapidly evolving fields, and new developments are expected to continue at a rapid pace. Competition from large food-products, industrial, medical and pharmaceutical companies is expected to be intense. In addition, the nature of our collaborative arrangements may result in our business partners and licensees becoming our competitors. Many of our competitors have substantially greater financial and technical resources and production and marketing capabilities than we do, and may have substantially greater experience in conducting clinical and field trials, obtaining regulatory approvals and manufacturing and marketing commercial products.</w:t>
      </w:r>
    </w:p>
    <w:p>
      <w:pPr>
        <w:spacing w:after="0" w:line="14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food industry is highly competitive, and further consolidation with our customers would likely increase competition. Competitive pressures also may restrict our ability to increase prices, including in response to commodity and other cost increases. We sell branded, private brand, and customized food products, as well as commercially branded foods. Our branded products have an advantage over private brand products primarily due to advertising and name recognition, although private brand products typically sell at a discount to those of branded competitors. In addition, when branded competitors focus on price and promotion, the environment for private brand producers becomes more challenging because the price difference between private brand products and branded products may become less significant. In most product categories, we compete not only with other widely advertised branded products, but also with other private label and store brand products that are generally sold at lower prices. A strong competitive response from one or more of our competitors to our marketplace efforts, or a consumer shift towards more generic, lower-priced, or other value offerings, could result in us reducing pricing, increasing marketing or other expenditures, or losing market share. Our margins and profits could decrease if a reduction in prices or increased costs are not counterbalanced with increased sales volume.</w:t>
      </w:r>
    </w:p>
    <w:p>
      <w:pPr>
        <w:spacing w:after="0" w:line="13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addition, substantial growth in e-commerce has encouraged the entry of new competitors and business models, intensifying competition by simplifying distribution and lowering barriers to entry. The expanding presence of e-commerce retailers has impacted, and may continue to impact, consumer preferences and market dynamics, which in turn may negatively affect our sales or profits.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Lifecore</w:t>
      </w:r>
    </w:p>
    <w:p>
      <w:pPr>
        <w:spacing w:after="0" w:line="19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Food and Drug Administration (“FDA”) regulates and/or approves the clinical trials, manufacturing, labeling, distribution, import, export, sale and promotion of medical devices and drug products in or from the United States. Some of the Company’s and its customers’ products are subject to extensive and rigorous regulation by the FDA, which regulates some of the products as medical devices or drug products, that in some cases require FDA approval or clearance, prior to U.S. distribution of Pre-Market Approval (“PMA”), or New Drug Applications (“NDA”), or Pre-Market Notifications, or other submissions and by foreign countries, which regulate some of the products as medical devices or drug products.</w:t>
      </w:r>
    </w:p>
    <w:p>
      <w:pPr>
        <w:spacing w:after="0" w:line="144"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Other regulatory requirements are placed on the design, manufacture, processing, packaging, labeling, distribution, record-keeping and reporting of a medical device or drug products and on the quality control procedures. For example, medical device and drug manufacturing facilities are subject to periodic inspections by the FDA to assure compliance with device and/or drug requirements, as applicable. The FDA also conducts pre-approval inspections for PMA and NDA product introduction. Lifecore’s facility is subject to inspections as both a device and a drug manufacturing operation. For PMA devices and NDA drug products, the company that owns the product submission is required to submit an annual report and also to obtain approval, as applicable, for modifications to the device, drug product, or its labeling. Similarly, companies that own FDA Pre-Market Notifications for marketed products must obtain additional FDA clearance for certain modifications to their devices or labeling. Other applicable FDA requirements include but are not limited to reporting requirements such as the medical device reporting regulation, which requires certain companies to provide information to the FDA regarding deaths or serious injuries alleged to have been associated with the use of its devices, as well as product malfunctions that would likely cause or contribute to death or serious injury if the malfunction were to recur. FDA also maintains adverse event reporting requirements for drug products, among other post-market regulatory requirements.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Curation Foods</w:t>
      </w:r>
    </w:p>
    <w:p>
      <w:pPr>
        <w:spacing w:after="0" w:line="19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Company’s food products and operations are also subject to regulation by various foreign, federal, state, and local agencies, with respect to production processes, product attributes, packaging, labeling, advertising, import, export, storage, transportation and distribution.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 w:name="page11"/>
    <w:bookmarkEnd w:id="10"/>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the U.S., food products are primarily regulated by the FDA, which has the authority to inspect the Company’s food facilities, and regulates, among other things, food manufacturing, food packing and holding, food additives, food safety, the growing and harvesting of produce intended for human consumption, food transportation, food labeling, food packaging, and food supplier controls including foreign supplier verification. In addition, advertising of our products is subject to regulation by the Federal Trade Commission (“FTC”), and operations are subject to certain health and safety regulations, such as those issued under the Occupational Safety and Health Act (“OSHA”). All of our U.S. facilities and food products must be in compliance with the Federal Food, Drug, and Cosmetic Act (“FDC Act”) as amended by, among other things, the FDA Food Safety Modernization Act (“FSMA”). In addition, our operations in Mexico are subject to Mexican regulations through the SAGARPA, and our food products sold into Canada must be in compliance with applicable Canadian food safety and labeling regulations.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Mission</w:t>
      </w:r>
    </w:p>
    <w:p>
      <w:pPr>
        <w:spacing w:after="0" w:line="243" w:lineRule="exact"/>
        <w:rPr>
          <w:sz w:val="20"/>
          <w:szCs w:val="20"/>
          <w:color w:val="auto"/>
        </w:rPr>
      </w:pPr>
    </w:p>
    <w:p>
      <w:pPr>
        <w:jc w:val="both"/>
        <w:ind w:firstLine="541"/>
        <w:spacing w:after="0" w:line="258" w:lineRule="auto"/>
        <w:rPr>
          <w:sz w:val="20"/>
          <w:szCs w:val="20"/>
          <w:color w:val="auto"/>
        </w:rPr>
      </w:pPr>
      <w:r>
        <w:rPr>
          <w:rFonts w:ascii="Arial" w:cs="Arial" w:eastAsia="Arial" w:hAnsi="Arial"/>
          <w:sz w:val="17"/>
          <w:szCs w:val="17"/>
          <w:color w:val="auto"/>
        </w:rPr>
        <w:t>The strength of our team and our workplace culture is essential to our ability to achieve our broader mission. Attracting, developing and retaining exceptional employees is vitally important to us, and we invest in creating a differentiated culture for our team that enables continuous innovation at scale. We want to be a force for good, a team that is helping to improve the quality of life for our customers and employees. As of May 29, 2022, Landec had 689 full-time employees, of whom 561 were dedicated to research, development, manufacturing, quality control and regulatory affairs, and 128 were dedicated to sales, marketing and administrative activities. Landec intends to recruit additional personnel in connection with the development, manufacturing and marketing of its products.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Employee Engagement and Culture</w:t>
      </w:r>
    </w:p>
    <w:p>
      <w:pPr>
        <w:spacing w:after="0" w:line="243" w:lineRule="exact"/>
        <w:rPr>
          <w:sz w:val="20"/>
          <w:szCs w:val="20"/>
          <w:color w:val="auto"/>
        </w:rPr>
      </w:pPr>
    </w:p>
    <w:p>
      <w:pPr>
        <w:jc w:val="both"/>
        <w:ind w:firstLine="541"/>
        <w:spacing w:after="0" w:line="279" w:lineRule="auto"/>
        <w:rPr>
          <w:sz w:val="20"/>
          <w:szCs w:val="20"/>
          <w:color w:val="auto"/>
        </w:rPr>
      </w:pPr>
      <w:r>
        <w:rPr>
          <w:rFonts w:ascii="Arial" w:cs="Arial" w:eastAsia="Arial" w:hAnsi="Arial"/>
          <w:sz w:val="17"/>
          <w:szCs w:val="17"/>
          <w:color w:val="auto"/>
        </w:rPr>
        <w:t>Our hiring process has been designed to provide an equitable candidate experience, facilitate the inclusion of new perspectives, foster innovation and creativity and leverage technology and data analytics to address gaps in representation.</w:t>
      </w:r>
    </w:p>
    <w:p>
      <w:pPr>
        <w:spacing w:after="0" w:line="190" w:lineRule="exact"/>
        <w:rPr>
          <w:sz w:val="20"/>
          <w:szCs w:val="20"/>
          <w:color w:val="auto"/>
        </w:rPr>
      </w:pPr>
    </w:p>
    <w:p>
      <w:pPr>
        <w:jc w:val="both"/>
        <w:ind w:firstLine="541"/>
        <w:spacing w:after="0" w:line="266" w:lineRule="auto"/>
        <w:rPr>
          <w:sz w:val="20"/>
          <w:szCs w:val="20"/>
          <w:color w:val="auto"/>
        </w:rPr>
      </w:pPr>
      <w:r>
        <w:rPr>
          <w:rFonts w:ascii="Arial" w:cs="Arial" w:eastAsia="Arial" w:hAnsi="Arial"/>
          <w:sz w:val="17"/>
          <w:szCs w:val="17"/>
          <w:color w:val="auto"/>
        </w:rPr>
        <w:t xml:space="preserve">We developed a </w:t>
      </w:r>
      <w:r>
        <w:rPr>
          <w:rFonts w:ascii="Arial" w:cs="Arial" w:eastAsia="Arial" w:hAnsi="Arial"/>
          <w:sz w:val="17"/>
          <w:szCs w:val="17"/>
          <w:i w:val="1"/>
          <w:iCs w:val="1"/>
          <w:color w:val="auto"/>
        </w:rPr>
        <w:t>COVID-19 Taskforce</w:t>
      </w:r>
      <w:r>
        <w:rPr>
          <w:rFonts w:ascii="Arial" w:cs="Arial" w:eastAsia="Arial" w:hAnsi="Arial"/>
          <w:sz w:val="17"/>
          <w:szCs w:val="17"/>
          <w:color w:val="auto"/>
        </w:rPr>
        <w:t xml:space="preserve"> to assure employee health and safety throughout the workplace and encourage employees to carry this information into their communities. We also partner with local health departments in our various locations to supply our employees with COVID-19 communications to keep them informed in the ever-changing environment.</w:t>
      </w:r>
    </w:p>
    <w:p>
      <w:pPr>
        <w:spacing w:after="0" w:line="188"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7"/>
          <w:szCs w:val="17"/>
          <w:color w:val="auto"/>
        </w:rPr>
        <w:t>We provide training to all employees in the areas of Food Safety, Human Safety and Human Resources. Individual training plans for continued growth are developed between employees and supervisors or managers. Frontline supervision workers at factory locations are provided continuous improvement tools for training in line with our "ZEST" efforts as well as employee interface training covering topics such as how to provide feedback or how to have difficult conversations regarding performance. ZEST is our manufacturing operational system that will empower our people to work in a different way, changing their mindset and behaviors leading to an acceleration of our performance across our operations.</w:t>
      </w:r>
    </w:p>
    <w:p>
      <w:pPr>
        <w:spacing w:after="0" w:line="212" w:lineRule="exact"/>
        <w:rPr>
          <w:sz w:val="20"/>
          <w:szCs w:val="20"/>
          <w:color w:val="auto"/>
        </w:rPr>
      </w:pPr>
    </w:p>
    <w:p>
      <w:pPr>
        <w:ind w:left="1240" w:hanging="309"/>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Zero Mindset </w:t>
      </w:r>
      <w:r>
        <w:rPr>
          <w:rFonts w:ascii="Arial" w:cs="Arial" w:eastAsia="Arial" w:hAnsi="Arial"/>
          <w:sz w:val="17"/>
          <w:szCs w:val="17"/>
          <w:color w:val="auto"/>
        </w:rPr>
        <w:t>- Zero breakdown, zero defects, zero recalls, zero accidents, zero pollution.</w:t>
      </w:r>
    </w:p>
    <w:p>
      <w:pPr>
        <w:spacing w:after="0" w:line="27" w:lineRule="exact"/>
        <w:rPr>
          <w:rFonts w:ascii="Arial" w:cs="Arial" w:eastAsia="Arial" w:hAnsi="Arial"/>
          <w:sz w:val="17"/>
          <w:szCs w:val="17"/>
          <w:color w:val="auto"/>
        </w:rPr>
      </w:pPr>
    </w:p>
    <w:p>
      <w:pPr>
        <w:ind w:left="1240" w:hanging="309"/>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Empowerment </w:t>
      </w:r>
      <w:r>
        <w:rPr>
          <w:rFonts w:ascii="Arial" w:cs="Arial" w:eastAsia="Arial" w:hAnsi="Arial"/>
          <w:sz w:val="17"/>
          <w:szCs w:val="17"/>
          <w:color w:val="auto"/>
        </w:rPr>
        <w:t>- Empower employees to impact change. I operate. I maintain. I own the outcomes.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Standardization </w:t>
      </w:r>
      <w:r>
        <w:rPr>
          <w:rFonts w:ascii="Arial" w:cs="Arial" w:eastAsia="Arial" w:hAnsi="Arial"/>
          <w:sz w:val="17"/>
          <w:szCs w:val="17"/>
          <w:color w:val="auto"/>
        </w:rPr>
        <w:t>- Implementing the same practice across the network for efficiency.</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Training </w:t>
      </w:r>
      <w:r>
        <w:rPr>
          <w:rFonts w:ascii="Arial" w:cs="Arial" w:eastAsia="Arial" w:hAnsi="Arial"/>
          <w:sz w:val="17"/>
          <w:szCs w:val="17"/>
          <w:color w:val="auto"/>
        </w:rPr>
        <w:t>- The cornerstone of success and employee engagement.</w:t>
      </w:r>
    </w:p>
    <w:p>
      <w:pPr>
        <w:spacing w:after="0" w:line="232" w:lineRule="exact"/>
        <w:rPr>
          <w:sz w:val="20"/>
          <w:szCs w:val="20"/>
          <w:color w:val="auto"/>
        </w:rPr>
      </w:pPr>
    </w:p>
    <w:p>
      <w:pPr>
        <w:jc w:val="both"/>
        <w:ind w:firstLine="541"/>
        <w:spacing w:after="0" w:line="266" w:lineRule="auto"/>
        <w:rPr>
          <w:sz w:val="20"/>
          <w:szCs w:val="20"/>
          <w:color w:val="auto"/>
        </w:rPr>
      </w:pPr>
      <w:r>
        <w:rPr>
          <w:rFonts w:ascii="Arial" w:cs="Arial" w:eastAsia="Arial" w:hAnsi="Arial"/>
          <w:sz w:val="17"/>
          <w:szCs w:val="17"/>
          <w:color w:val="auto"/>
        </w:rPr>
        <w:t>We empower our employees to own their career path and seek out training programs to take them to the next level. We are currently in the process of developing a platform for growth opportunities and ways to understand and communicate career pathways. We have also invested in our training and development programs and infrastructure for our employees.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49" w:lineRule="exact"/>
        <w:rPr>
          <w:sz w:val="20"/>
          <w:szCs w:val="20"/>
          <w:color w:val="auto"/>
        </w:rPr>
      </w:pPr>
    </w:p>
    <w:p>
      <w:pPr>
        <w:jc w:val="both"/>
        <w:ind w:firstLine="541"/>
        <w:spacing w:after="0" w:line="258" w:lineRule="auto"/>
        <w:rPr>
          <w:sz w:val="20"/>
          <w:szCs w:val="20"/>
          <w:color w:val="auto"/>
        </w:rPr>
      </w:pPr>
      <w:r>
        <w:rPr>
          <w:rFonts w:ascii="Arial" w:cs="Arial" w:eastAsia="Arial" w:hAnsi="Arial"/>
          <w:sz w:val="17"/>
          <w:szCs w:val="17"/>
          <w:color w:val="auto"/>
        </w:rPr>
        <w:t>The Company’s website is www.lifecore.com. The Company makes available free of charge copies of its Annual Reports on Form 10-K, Quarterly Reports on Form 10-Q, Current Reports on Form 8-K and all amendments to these reports filed or furnished pursuant to Section 13(a) or 15(d) of the Securities Exchange Act of 1934, as amended, or the Exchange Act, as soon as reasonably practicable after filing such material electronically with, or otherwise furnishing it to, the U.S. Securities and Exchange Commission (“SEC”). In addition, these materials may be obtained at the website maintained by the SEC at www.sec.gov. The reference to the Company’s website address does not constitute incorporation by reference of the information contained on the website, and the information contained on the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 w:name="page12"/>
    <w:bookmarkEnd w:id="11"/>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18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connection with the preparation of this Form 10-K/A, the Company has evaluated its financial condition as of the Amended Filing Date. Based on this evaluation, the Company has determined that, as of the Amended Filing Date, the existence of certain conditions and events raise substantial doubt about the Company’s ability to continue as a going concern within one year following the Amended Filing Date. The assessment of going concern is further discussed under “Part I, Item 1A. Risk Factors”, “Part II, Item 7. Management’s Discussion and Analysis of Financial Condition and Results of Operations — Going Concern” and “─ Liquidity and Capital Resources.”</w:t>
      </w:r>
    </w:p>
    <w:p>
      <w:pPr>
        <w:spacing w:after="0" w:line="13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i w:val="1"/>
          <w:iCs w:val="1"/>
          <w:color w:val="auto"/>
        </w:rPr>
        <w:t>Risk Factors</w:t>
      </w:r>
    </w:p>
    <w:p>
      <w:pPr>
        <w:spacing w:after="0" w:line="197"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i w:val="1"/>
          <w:iCs w:val="1"/>
          <w:color w:val="auto"/>
        </w:rPr>
        <w:t>Our business faces significant risks and uncertainties. Certain important factors may have a material adverse effect on our business, prospects, financial condition and results of operations, any of which could subsequently have an adverse effect on the trading price of our common stock, and you should carefully consider them. Accordingly, in evaluating our business, we encourage you to consider the following discussion of risk factors in its entirety, in addition to other information contained in or incorporated by reference into this Annual Report on Form 10-K/A and our other public filings with the SEC. Additional risks not currently known to us or that we currently deem to be immaterial also may materially adversely affect our business, financial condition and results of operations in future periods.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 and Operations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shareholder value creation program, Project SWIFT, may not have the anticipated results we intended, exposes us to additional restructuring costs and operational risks, and may be negatively perceived in the markets.</w:t>
      </w:r>
    </w:p>
    <w:p>
      <w:pPr>
        <w:spacing w:after="0" w:line="126"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have previously announced the development of a shareholder value creation program, Project SWIFT, designed to strategically realign our Curation Foods business to focus the business on its strategic assets and redesign the organization to be the appropriate size to compete and thrive. This program includes reviewing strategic options for the closure of our leased offices in Santa Maria, California and Los Angeles, California, the divestiture of our Eat Smart business, strategic review of our logistics operations, and certain other actions taken to redesign the Curation Foods organization. We may not be able to implement all of the actions that we intend to take in this program and we may not be able to realize the expected benefits from such realignment and restructuring plans or other similar restructurings on the anticipated timing, or at all. In addition, we may incur additional restructuring costs in implementing such realignment and restructuring plans or other similar future plans in excess of our expectations. The implementation of our restructuring efforts, including the potential reduction of our facilities and workforce, may not improve our operational and cost structure or result in greater efficiency of our organization; and we may not be able to support sustainable revenue growth and profitability following such restructurings. Any reduction in workforce or divestitures of facilities or other assets may also expose us to additional risks, including potential litigation (including labor and employment disputes), unforeseen costs or adverse impacts to the operations of our retained businesses. In addition, our strategic realignment efforts may not be viewed positively by shareholders and analysts, which may cause our stock price to decline or become volatile.</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COVID-19 Pandemic, or any other pandemic, epidemic or outbreak of an infectious disease in the United States or worldwide, may adversely affect our business.</w:t>
      </w:r>
    </w:p>
    <w:p>
      <w:pPr>
        <w:spacing w:after="0" w:line="126"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In December 2019, a novel strain of coronavirus, COVID-19, was identified in Wuhan, China. This virus continues to spread globally and, as of May 29, 2022, has spread to approximately 160 countries, including the United States. To date, the COVID-19 pandemic and preventative measures taken to contain or mitigate the outbreak have caused, and are continuing to cause, business slowdowns or shutdowns in affected areas and significant disruption to our businesses and to the financial markets both globally and in the United States. The COVID-19 pandemic has had and we believe will continue to have significant adverse impacts on many aspects of the Company’s operations, directly and indirectly, including with respect to sales, customer behaviors, business and manufacturing operations, inventory, the Company’s employees, and the market generally, and the scope and nature of these impacts continue to evolve each day. In particular, the COVID-19 pandemic has resulted in and may continue to result in, regional quarantines, labor shortages or stoppages, adverse changes in consumer purchasing patterns, reductions in customer demand for our products, increased safety and compliance costs, increased logistics cost, disruptions to our supply chains, suppliers and service providers to deliver materials and services on a timely basis, and overall economic instability, which have significantly adversely affected and could further adversely affect our business, financial condition and results of operations. In addition, in response to the COVID-19 pandemic, our suppliers, growers, and corporate partners have reduced staffing and have reduced, delayed and postponed certain projects, initiatives or other arrangements in response to the spread of the COVID-19 pandemic, which may continue or worsen as the pandemic continues. These actions have resulted in and may result in further business and manufacturing disruption, inventory shortages, delivery delays, additional costs, and reduced sales and operations for us, any of which have and could further significantly affect our business, financial condition and results 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2" w:name="page13"/>
    <w:bookmarkEnd w:id="12"/>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operations. With respect to our Curation Foods business specifically, the responses to the COVID-19 pandemic have also adversely impacted and may further impact consumer spending and our customer’s preferences, which have had and may continue to have an adverse impact on our sales in that segment. With respect to our Lifecore business, the COVID-19 pandemic has resulted and may continue to result in fewer elective medical procedures, which, in turn, has and may continue to adversely impact our business and sales. The extent to which the COVID-19 pandemic has impacted our business is difficult to ascertain, and future potential impacts to our business will depend on how the COVID-19 pandemic continues to evolve, which is highly uncertain and cannot be predicted. Such future developments may include, among others, new information that may emerge concerning the severity of COVID-19 and the actions to contain COVID-19 or treat its impact. The COVID-19 pandemic has adversely affected the economies and financial markets worldwide, resulting in an economic downturn that could affect demand for our products, our ability to obtain financing on favorable terms, our ability to comply with our obligations (including leases and debt covenants) and otherwise adversely impact our business, financial condition and results of operations.</w:t>
      </w:r>
    </w:p>
    <w:p>
      <w:pPr>
        <w:spacing w:after="0" w:line="13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situation surrounding the COVID-19 pandemic remains fluid, and given its inherent uncertainty, we expect that it will continue to have significant adverse impacts on our business in the future. The duration and extent of the impact from the COVID-19 pandemic, or any other future pandemic, epidemic or outbreak, depends on future developments that cannot be accurately predicted at this time, such as the severity and transmission rate of the virus and its variants, the extent and effectiveness of containment actions and the impact of these and other factors on our employees, customers, suppliers, distributors and manufacturers. Should these conditions persist for a prolonged period, the COVID-19 pandemic, including any of the above factors and others that are currently unknown, could continue to have a significant adverse effect on our business, financial condition and results of operations. The impact of the COVID-19 pandemic may also exacerbate other risks discussed elsewhere in this Report, any of which could have a material effect on us.</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are currently not in compliance with the covenants under the New Credit Agreements. The New Credit Agreements provide our lenders with a lien against substantially all of our assets, and contains financial covenants that may limit our operational flexibility and cash flow available to invest in the ongoing needs of our business or otherwise adversely affect our results of operations.</w:t>
      </w:r>
    </w:p>
    <w:p>
      <w:pPr>
        <w:spacing w:after="0" w:line="1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Company’s New Credit Agreements contain a number of covenants that limit the Company’s ability and its subsidiaries’ ability to, among other things, incur additional indebtedness, pay dividends, create liens, engage in transactions with affiliates, merge or consolidate with other companies, or sell substantially all of its assets, as well containing certain affirmative covenants related to its reporting obligations and other operational matters. The Company is also required to maintain certain financial covenants, including a maximum total leverage ratio and a minimum fixed charge coverage ratio pursuant to the terms of the New Credit Agreements, which also contain cross-default protections.</w:t>
      </w:r>
    </w:p>
    <w:p>
      <w:pPr>
        <w:spacing w:after="0" w:line="14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As of the Amended Filing Date, the Company determined that it was not in compliance with the covenant under the New Credit Agreements requiring the timely filing of financial statements. The inclusion of a going concern explanatory paragraph in the auditor’s report issued by Ernst and Young LLP in connection with the restated audited financial statements for the year ended May 29, 2022 included in this Annual Report on Form 10-K/A also violates the covenants under the New Credit Agreements. In addition, based on the Company’s current financial projections for the one-year period following the Amended Filing Date, the Company anticipates that it will not be in compliance with certain financial covenants under the New Credit Agreements during the one-year period following the Amended Filing Date, including the minimum fixed charge coverage ratio covenant for the fiscal quarters ending May 30, 2023 through November 30, 2023; the maximum leverage ratio covenant as of the fiscal quarters ending May 30, 2023 through November 30, 2023; the minimum liquidity covenant for each of the fiscal quarters ended as of February 26, 2023 through May 30, 2024; and the minimum Lifecore gross profit covenant for the fiscal quarters ending February 26, 2023 through August 30, 2023. Pursuant to the terms of the New Credit Agreements, as a result of the Company’s failure to comply with the covenants described above, the agents and the lenders under the New Credit Agreements are entitled to immediately cancel all unfunded commitments and to accelerate the maturity of all of the outstanding debt thereunder, at which time all such outstanding borrowings, plus all accrued and unpaid interest and other fees and expenses, would become immediately due and payable by the Company. In addition, as a result of such defaults, under the New Credit Agreements, the Company will automatically be subject to increased interest rates for any outstanding borrowings thereunder prior to repayment and, even if the agent and the lenders under the Refinance Revolver (as defined in “Part II, Item 7. Management’s Discussion and Analysis of Financial Condition and Results of Operations – Liquidity and Capital Resources – Debt”) do not exercise their rights to immediately accelerate all outstanding obligations, such lenders may refuse to fund additional borrowings thereunder, which the Company relies upon for short-term liquidity needs.</w:t>
      </w:r>
    </w:p>
    <w:p>
      <w:pPr>
        <w:spacing w:after="0" w:line="14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Although the agents and the Lenders have not taken any action to accelerate the maturity of the debt under the New Credit Agreements, nor have the Lenders under the Refinance Revolver indicated that they intend to prevent the Company from incurring additional borrowings thereunder, they may elect to do so at any time. The Company does not currently have sufficient liquidity to fund payment of the amounts that would become due under the New Credit Agreements if the maturity was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3" w:name="page14"/>
    <w:bookmarkEnd w:id="13"/>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accelerated, nor does management have projected future cash flows to repay these outstanding borrowings under the New Credit Agreements if the maturity becomes accelerated in the future, which could result in the agents and Lenders electing to foreclose on the Company and its collateral (which represents substantially all of the Company’s assets), or else could leave to the Company filing of bankruptcy or undertaking similar liquidation activities, all of which could have a material adverse effect on the Company’s business, prospects, results of operations, liquidity and financial condition. In addition, if the Lenders refuse to fund additional borrowings under the Refinance Revolver, the Company may be unable to meet its liquidity needs, which could, in turn, create significant challenges for the Company, including its ability to pay existing obligations, or to fund working capital, capital expenditures, product development efforts and other general corporate purposes, and may lead to bankruptcy or similar issues. Lastly, the increase in interest rate costs could cause the Company to significantly increase the amount of cash flow from operations or cash on hand to the payment of interest on such indebtedness which will reduce the amounts available to fund working capital, capital expenditures, product development efforts and other general corporate purposes.</w:t>
      </w:r>
    </w:p>
    <w:p>
      <w:pPr>
        <w:spacing w:after="0" w:line="13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While the Company is currently in negotiations with the Lenders to seek a forbearance and amendment agreement to remedy the Company’s current and anticipated noncompliance with its covenants under the New Credit Agreements, as well as exploring its strategic alternatives, which may include, among other things, a refinancing of the Company’s existing indebtedness, there can be no assurance that we will be able to obtain an acceptable amendment under the New Credit Agreements or any alternative financing on terms acceptable to us, or at all, and such an amendment or refinancing may not remediate the issues described above, and may subject the Company to further restrictions, limitations and costs that could have a material adverse effect on the Company’s business, prospects, results of operations, liquidity and financial condition.</w:t>
      </w:r>
    </w:p>
    <w:p>
      <w:pPr>
        <w:spacing w:after="0" w:line="14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In addition, even if the Company enters into an amendment to the New Credit Agreements to resolve the Company’s existing and anticipated noncompliance thereunder, there can be no assurance that we may be in default again in the future. The Company’s ability to make payments on its debt, fund its other liquidity needs, and make planned capital expenditures will depend on its ability to generate cash in the future. The Company’s historical financial results have been, and the Company anticipates that its future financial results will be, subject to fluctuations. The Company’s ability to generate cash, to a certain extent, is subject to general economic, financial, competitive, legislative, regulatory, and other factors that are beyond the Company’s control. The Company cannot guarantee that the Company’s business will generate sufficient cash flow from its operations or that future borrowings will be available to the Company in an amount sufficient to enable it to make payments of its debt, fund other liquidity needs, and make planned capital expenditures.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concluded there is a substantial doubt about our ability to continue as a going concern.</w:t>
      </w:r>
    </w:p>
    <w:p>
      <w:pPr>
        <w:spacing w:after="0" w:line="178"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As described under “Part II, Item 7. Management’s Discussion and Analysis of Financial Condition and Results of Operations — Going Concern” the Company has evaluated its financial condition as of the date the accompanying consolidated financial statements are being re-issued (the “Amended Filing Date”), and, based on this evaluation, the Company has determined that, as of the Amended Filing Date, the existence of certain conditions and events raise substantial doubt about the Company’s ability to continue as a going concern within one year following the Amended Filing Date.</w:t>
      </w:r>
    </w:p>
    <w:p>
      <w:pPr>
        <w:spacing w:after="0" w:line="125" w:lineRule="exact"/>
        <w:rPr>
          <w:sz w:val="20"/>
          <w:szCs w:val="20"/>
          <w:color w:val="auto"/>
        </w:rPr>
      </w:pPr>
    </w:p>
    <w:p>
      <w:pPr>
        <w:jc w:val="both"/>
        <w:ind w:firstLine="619"/>
        <w:spacing w:after="0" w:line="288" w:lineRule="auto"/>
        <w:rPr>
          <w:sz w:val="20"/>
          <w:szCs w:val="20"/>
          <w:color w:val="auto"/>
        </w:rPr>
      </w:pPr>
      <w:r>
        <w:rPr>
          <w:rFonts w:ascii="Arial" w:cs="Arial" w:eastAsia="Arial" w:hAnsi="Arial"/>
          <w:sz w:val="15"/>
          <w:szCs w:val="15"/>
          <w:color w:val="auto"/>
        </w:rPr>
        <w:t>In addition, the Company’s ability to meet its liquidity needs for one year following the Amended Filing Date will largely depend on its ability to generate cash in the future. As of November 27, 2022, the Company incurred net losses of $12.5 million, and the Company’s ability to generate cash in the future is subject to general economic, financial, competitive, legislative, regulatory, and other factors, many of which are outside of the Company’s control, including the actions taken by the Company’s agents and Lenders under the New Credit Agreements with respect to the Company’s current and anticipated noncompliance under the New Credit Agreements, the terms of any amendment thereto or any refinancing, if any, the Company’s ability to secure new customer relationships and retain and grow existing customer relationships, the Company’s ability to execute on its strategic plans, the ability of the Company to manage expenses and grow the business to generate future cash flows, and the availability and terms of future financing, among others. Based on the Company’s financial projections as of the Amended Filing Date, the Company does not believe that it will have adequate liquidity to meet its obligations for at least one year following the Amended Filing Date. If the Company is unable to manage these risks and uncertainties, and is unable to meet its liquidity needs, its business would be jeopardized and may not be able to continue to operate. For more information, see “Part II, Item 7. Management’s Discussion and Analysis of Financial Condition and Results of Operations</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Going Concern” and “— We are currently not in compliance with the covenants under the New Credit Agreements. The New Credit Agreements provide the Lenders with a lien against substantially all of the Company’s assets, and contains financial covenants that may limit our operational flexibility and cash flow available to invest in the ongoing needs of our business or otherwise adversely affect the Company’s results of operations.”</w:t>
      </w:r>
    </w:p>
    <w:p>
      <w:pPr>
        <w:spacing w:after="0" w:line="15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addition, the Company’s determination of the existence of substantial doubt as to the Company’s ability to continue as a going concern itself has had, and may in the future have, adverse consequences for the Company. In particular, as described elsewhere in these risk factors, the inclusion of a going concern explanatory paragraph in the auditor’s report issued by Ernst and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4" w:name="page15"/>
    <w:bookmarkEnd w:id="14"/>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Young LLP in connection with the restated audited financial statements for the year ended May 29, 2022 included in the this Annual Report on Form 10-K/A violated the covenants under the New Credit Agreements. In addition, a public announcement of this declaration, combined with the Company’s existing and anticipated noncompliance with the terms under the New Credit Agreements and its decision to explore strategic alternatives, may cause or result in:</w:t>
      </w:r>
    </w:p>
    <w:p>
      <w:pPr>
        <w:spacing w:after="0" w:line="119" w:lineRule="exact"/>
        <w:rPr>
          <w:sz w:val="20"/>
          <w:szCs w:val="20"/>
          <w:color w:val="auto"/>
        </w:rPr>
      </w:pPr>
    </w:p>
    <w:p>
      <w:pPr>
        <w:ind w:left="1240" w:hanging="309"/>
        <w:spacing w:after="0" w:line="279" w:lineRule="auto"/>
        <w:tabs>
          <w:tab w:leader="none" w:pos="1236" w:val="left"/>
        </w:tabs>
        <w:numPr>
          <w:ilvl w:val="0"/>
          <w:numId w:val="8"/>
        </w:numPr>
        <w:rPr>
          <w:rFonts w:ascii="Arial" w:cs="Arial" w:eastAsia="Arial" w:hAnsi="Arial"/>
          <w:sz w:val="17"/>
          <w:szCs w:val="17"/>
          <w:color w:val="auto"/>
        </w:rPr>
      </w:pPr>
      <w:r>
        <w:rPr>
          <w:rFonts w:ascii="Arial" w:cs="Arial" w:eastAsia="Arial" w:hAnsi="Arial"/>
          <w:sz w:val="17"/>
          <w:szCs w:val="17"/>
          <w:color w:val="auto"/>
        </w:rPr>
        <w:t>harm to the Company’s reputation, investor confidence, customer relationships, relationships with the Company’s agents and Lenders, and the willingness for third parties to do business with the Company on favorable terms, or at all, in the future;</w:t>
      </w:r>
    </w:p>
    <w:p>
      <w:pPr>
        <w:spacing w:after="0" w:line="125" w:lineRule="exact"/>
        <w:rPr>
          <w:rFonts w:ascii="Arial" w:cs="Arial" w:eastAsia="Arial" w:hAnsi="Arial"/>
          <w:sz w:val="17"/>
          <w:szCs w:val="17"/>
          <w:color w:val="auto"/>
        </w:rPr>
      </w:pPr>
    </w:p>
    <w:p>
      <w:pPr>
        <w:ind w:left="1240" w:hanging="309"/>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disruption of the Company’s business;</w:t>
      </w:r>
    </w:p>
    <w:p>
      <w:pPr>
        <w:spacing w:after="0" w:line="191" w:lineRule="exact"/>
        <w:rPr>
          <w:rFonts w:ascii="Arial" w:cs="Arial" w:eastAsia="Arial" w:hAnsi="Arial"/>
          <w:sz w:val="17"/>
          <w:szCs w:val="17"/>
          <w:color w:val="auto"/>
        </w:rPr>
      </w:pPr>
    </w:p>
    <w:p>
      <w:pPr>
        <w:ind w:left="1240" w:hanging="309"/>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distraction of the Company’s management and employees;</w:t>
      </w:r>
    </w:p>
    <w:p>
      <w:pPr>
        <w:spacing w:after="0" w:line="178" w:lineRule="exact"/>
        <w:rPr>
          <w:rFonts w:ascii="Arial" w:cs="Arial" w:eastAsia="Arial" w:hAnsi="Arial"/>
          <w:sz w:val="17"/>
          <w:szCs w:val="17"/>
          <w:color w:val="auto"/>
        </w:rPr>
      </w:pPr>
    </w:p>
    <w:p>
      <w:pPr>
        <w:ind w:left="1240" w:hanging="309"/>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difficulty in recruiting, hiring, motivating, and retaining talented and skilled personnel;</w:t>
      </w:r>
    </w:p>
    <w:p>
      <w:pPr>
        <w:spacing w:after="0" w:line="178" w:lineRule="exact"/>
        <w:rPr>
          <w:rFonts w:ascii="Arial" w:cs="Arial" w:eastAsia="Arial" w:hAnsi="Arial"/>
          <w:sz w:val="17"/>
          <w:szCs w:val="17"/>
          <w:color w:val="auto"/>
        </w:rPr>
      </w:pPr>
    </w:p>
    <w:p>
      <w:pPr>
        <w:ind w:left="1240" w:hanging="309"/>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difficulty in maintaining or negotiating and consummating new, business or strategic relationships or transactions;</w:t>
      </w:r>
    </w:p>
    <w:p>
      <w:pPr>
        <w:spacing w:after="0" w:line="191" w:lineRule="exact"/>
        <w:rPr>
          <w:rFonts w:ascii="Arial" w:cs="Arial" w:eastAsia="Arial" w:hAnsi="Arial"/>
          <w:sz w:val="17"/>
          <w:szCs w:val="17"/>
          <w:color w:val="auto"/>
        </w:rPr>
      </w:pPr>
    </w:p>
    <w:p>
      <w:pPr>
        <w:ind w:left="1240" w:hanging="309"/>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increased stock price volatility; and</w:t>
      </w:r>
    </w:p>
    <w:p>
      <w:pPr>
        <w:spacing w:after="0" w:line="178" w:lineRule="exact"/>
        <w:rPr>
          <w:rFonts w:ascii="Arial" w:cs="Arial" w:eastAsia="Arial" w:hAnsi="Arial"/>
          <w:sz w:val="17"/>
          <w:szCs w:val="17"/>
          <w:color w:val="auto"/>
        </w:rPr>
      </w:pPr>
    </w:p>
    <w:p>
      <w:pPr>
        <w:ind w:left="1240" w:hanging="309"/>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increased costs and advisory fees.</w:t>
      </w:r>
    </w:p>
    <w:p>
      <w:pPr>
        <w:spacing w:after="0" w:line="17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If the Company is unable to mitigate these or other potential risks related to the uncertainty caused by the Company’s determination that substantial doubt exists as to the Company’s ability to continue as a going concern, as well as its noncompliance with the terms of its New Credit Agreements and its announcement of its intention to review strategic alternatives, it may disrupt the Company’s business or adversely impact the Company’s prospects, reputation, revenue, operating results, and financial condition.</w:t>
      </w:r>
    </w:p>
    <w:p>
      <w:pPr>
        <w:spacing w:after="0" w:line="152" w:lineRule="exact"/>
        <w:rPr>
          <w:sz w:val="20"/>
          <w:szCs w:val="20"/>
          <w:color w:val="auto"/>
        </w:rPr>
      </w:pPr>
    </w:p>
    <w:p>
      <w:pPr>
        <w:jc w:val="both"/>
        <w:ind w:firstLine="619"/>
        <w:spacing w:after="0" w:line="331" w:lineRule="auto"/>
        <w:rPr>
          <w:sz w:val="20"/>
          <w:szCs w:val="20"/>
          <w:color w:val="auto"/>
        </w:rPr>
      </w:pPr>
      <w:r>
        <w:rPr>
          <w:rFonts w:ascii="Arial" w:cs="Arial" w:eastAsia="Arial" w:hAnsi="Arial"/>
          <w:sz w:val="15"/>
          <w:szCs w:val="15"/>
          <w:b w:val="1"/>
          <w:bCs w:val="1"/>
          <w:i w:val="1"/>
          <w:iCs w:val="1"/>
          <w:color w:val="auto"/>
        </w:rPr>
        <w:t>Our credit facilities provides our lenders with a lien against substantially all of our assets, and contains financial covenants that may limit our operational flexibility and cash flow available to invest in the ongoing needs of our business or otherwise adversely affect our results of operations.</w:t>
      </w:r>
    </w:p>
    <w:p>
      <w:pPr>
        <w:spacing w:after="0" w:line="91"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are party to two credit agreements, which contain a number of covenants that limit our ability and our subsidiaries’ ability to, among other things, incur additional indebtedness, pay dividends, create liens, engage in transactions with affiliates, merge or consolidate with other companies, or sell substantially all of our assets. We are also required to maintain certain financial covenants, including a maximum total leverage ratio and a minimum fixed charge coverage ratio. The terms of our credit facilities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144"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A failure by us to comply with the covenants specified in our credit agreements, as amended, could result in an event of default under the agreements, which would give the lenders the right to terminate their commitments to provide additional loans under our credit facilities and to declare all borrowings outstanding, together with accrued and unpaid interest, to be immediately due and payable. In addition, the lenders would have the right to proceed against the collateral we granted to them, which consists of substantially all of our assets. We cannot guarantee that we will be able to remain in compliance with all applicable covenants under the credit agreements in the future, that our lenders will elect to provide waivers or enter into amendments in the future, or, if the lenders do provide waivers, that those waivers will not be conditioned upon additional costs or restrictions that could materially or adversely impact our business, cash flows, results of operations, and financial condition. In addition, if the debt under our credit facilities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and there would be no guarantee that we would be able to find alternative financing. Even if we were able to obtain alternative financing, it may not be available on commercially reasonable terms or on terms that are acceptable to us.</w:t>
      </w:r>
    </w:p>
    <w:p>
      <w:pPr>
        <w:spacing w:after="0" w:line="12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ability to make payments on our debt, fund our other liquidity needs, and make planned capital expenditures will depend on our ability to generate cash in the future. Our historical financial results have been, and we anticipate that our future financial results will be, subject to fluctuations. Our ability to generate cash, to a certain extent, is subject to general economic, financial, competitive, legislative, regulatory, and other factors that are beyond our control. We cannot guarantee that our business will generate sufficient cash flow from our operations or that future borrowings will be available to us in an amount sufficient to enable us to make payments of our debt, fund other liquidity needs, and make planned capital expenditures.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5" w:name="page16"/>
    <w:bookmarkEnd w:id="15"/>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Cancellations or delays of orders by our customers may adversely affect our business and the sophistication and buying power of our customers could have a negative impact on profits.</w:t>
      </w:r>
    </w:p>
    <w:p>
      <w:pPr>
        <w:spacing w:after="0" w:line="137"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During the fiscal year ended May 29, 2022, the Company had sales concentrations of 10% or greater from two customers within the Lifecore segment. We expect that, for the foreseeable future, a limited number of customers may continue to account for a substantial portion of our revenues. We may experience changes in the composition of our customer base as we have experienced in the past. The reduction, delay or cancellation of orders from one or more major customers for any reason or the loss of one or more of our major customers could materially and adversely affect our business, operating results, and financial condition. In addition, since some of the products processed by Lifecore and Curation Foods are sole sourced to customers, our operating results could be adversely affected if one or more of our major customers were to develop other sources of supply. Our current customers may not continue to place orders, orders by existing customers may be canceled or may not continue at the levels of previous periods, or we may not be able to obtain orders from new customers.</w:t>
      </w:r>
    </w:p>
    <w:p>
      <w:pPr>
        <w:spacing w:after="0" w:line="117"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Our customers, such as supermarkets, warehouse clubs, and food distributors, have continued to consolidate, resulting in fewer customers on which we can rely for business. These consolidations, the growth of supercenters, and the growth of e-commerce customers have produced large, sophisticated customers with increased buying power and negotiating strength who are more capable of resisting price increases and can demand lower pricing, increased promotional programs, or specialty tailored products. In addition, larger retailers have the scale to develop supply chains that permit them to operate with reduced inventories or to develop and market their own retailer brands. These customers may also in the future use more of their shelf space, currently used for our products, for their store brand products. We continue to implement initiatives to counteract these pressures. However, if the larger size of these customers results in additional negotiating strength and/or increased private label or store brand competition, our profitability could decline.</w:t>
      </w:r>
    </w:p>
    <w:p>
      <w:pPr>
        <w:spacing w:after="0" w:line="1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Consolidation also increases the risk that adverse changes in our customers’ business operations or financial performance will have a corresponding material adverse effect on us. For example, as noted above, if our customers cannot access sufficient funds or financing, then they may delay, decrease, or cancel purchases of our products, or delay or fail to pay us for previous purchases.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 of some products may expose us to product liability claims.</w:t>
      </w:r>
    </w:p>
    <w:p>
      <w:pPr>
        <w:spacing w:after="0" w:line="178"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The testing, manufacturing, marketing, and sale of the products we develop involve an inherent risk of allegations of product liability, including foodborne illness. If any of our products are determined or alleged to be contaminated or defective or to have caused an illness, injury or harmful accident to an end-customer, we could incur substantial costs in responding to complaints or litigation regarding our products and our product brand image could be materially damaged. Such events may have a material adverse effect on our business, operating results and financial condition. In addition, we may be required to participate in product recalls or we may voluntarily initiate a recall as a result of various industry or business practices or the need to maintain good customer relationships.</w:t>
      </w:r>
    </w:p>
    <w:p>
      <w:pPr>
        <w:spacing w:after="0" w:line="17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Although we have taken and intend to continue to take what we consider to be appropriate precautions to minimize exposure to product liability claims, we may not be able to avoid significant liability. We currently maintain product liability insurance. While we think the coverage and limits are consistent with industry standards, our coverage may not be adequate or may not continue to be available at an acceptable cost, if at all. A product liability claim, product recall or other claim with respect to uninsured liabilities or in excess of insured liabilities could have a material adverse effect on our business, operating results and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increasing competition in the marketplace.</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Competitors may succeed in developing alternative technologies and products that are more effective, easier to use or less expensive than those which have been or are being developed by us or that would render our technology and products obsolete and non-competitive. We operate in highly competitive and rapidly evolving fields, and new developments are expected to continue at a rapid pace. Competition from large food products, industrial, medical and pharmaceutical companies is expected to be intense. In addition, the nature of our collaborative arrangements may result in our corporate partners and licensees becoming our competitors. Many of these competitors have substantially greater financial and technical resources and production and marketing capabilities than we do, and may have substantially greater experience in conducting clinical and field trials, obtaining regulatory approvals and manufacturing and marketing commercial products.</w:t>
      </w:r>
    </w:p>
    <w:p>
      <w:pPr>
        <w:spacing w:after="0" w:line="21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food industry is highly competitive, and further consolidation in the industry would likely increase competition. Our principal competitors have substantial financial, marketing, and other resources. Increased competition can reduce our sales due to loss of market share or the need to reduce prices to respond to competitive and customer pressures. Competitive pressures also</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6" w:name="page17"/>
    <w:bookmarkEnd w:id="16"/>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may restrict our ability to increase prices, including in response to commodity and other cost increases. We sell branded, private brand, and customized food products, as well as commercially branded foods. Our branded products have an advantage over private brand products primarily due to advertising and name recognition, although private brand products typically sell at a discount to those of branded competitors. In addition, when branded competitors focus on price and promotion, the environment for private brand producers becomes more challenging because the price difference between private brand products and branded products may become less significant. In most product categories, we compete not only with other widely advertised branded products, but also with other private label and store brand products that are generally sold at lower prices. A strong competitive response from one or more of our competitors to our marketplace efforts, or a consumer shift towards more generic, lower-priced, or other value offerings, could result in us reducing pricing, increasing marketing or other expenditures, or losing market share. Our margins and profits could decrease if a reduction in prices or increased costs are not counterbalanced with increased sales volume.</w:t>
      </w:r>
    </w:p>
    <w:p>
      <w:pPr>
        <w:spacing w:after="0" w:line="21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addition, substantial growth in e-commerce has encouraged the entry of new competitors and business models, intensifying competition by simplifying distribution and lowering barriers to entry. The expanding presence of e-commerce retailers has impacted, and may continue to impact, consumer preferences and market dynamics, which in turn may negatively affect our sales or profits.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identify changing consumer preferences and develop and offer food products to meet their preferences.</w:t>
      </w:r>
    </w:p>
    <w:p>
      <w:pPr>
        <w:spacing w:after="0" w:line="17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Consumer preferences evolve over time and the success of our food products depends on our ability to identify the tastes and dietary habits of consumers and to offer products that appeal to their preferences, including concerns of consumers regarding health and wellness, obesity, product attributes, and ingredients. Introduction of new products and product extensions requires significant development and marketing investment. If our products fail to meet consumer preferences, or we fail to introduce new and improved products on a timely basis, then the return on that investment will be less than anticipated and our strategy to grow sales and profits with investments in acquisitions, marketing, and innovation will be less successful.</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are subject to regulations that directly impact our business.</w:t>
      </w:r>
    </w:p>
    <w:p>
      <w:pPr>
        <w:spacing w:after="0" w:line="19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Our products and operations are subject to governmental regulation in the United States and foreign countries. The manufacture of our products is subject to detailed standards for product development, manufacturing controls, ongoing quality monitoring and analysis, and periodic inspection by regulatory authorities. We may not be able to obtain necessary regulatory approvals on a timely basis or at all. Delays in receipt of or failure to receive approvals or loss of previously received approvals would have a material adverse effect on our business, financial condition and results of operations. Although we have no reason to believe that we will not be able to comply with all applicable regulations regarding the manufacture and sale of our products and polymer materials, regulations are always subject to change and depend heavily on administrative interpretations and the country in which the products are sold. Future changes in regulations or interpretations relating to matters such as safe working conditions, laboratory and manufacturing practices, produce safety, environmental controls, and disposal of hazardous or potentially hazardous substances may adversely affect our business.</w:t>
      </w:r>
    </w:p>
    <w:p>
      <w:pPr>
        <w:spacing w:after="0" w:line="13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food operations are subject to regulation by the FDA, FTC, and other governmental entities. Applicable laws and regulations are subject to change from time to time and could impact how we manage the production, labeling, and sale of our food products. We are subject, for example, to FDA compliance and regulations concerning the safety of the food products handled and sold by Curation Foods, and the facilities in which they are packed, processed, and stored. Failure to comply with the applicable regulatory requirements can, among other things, result in:</w:t>
      </w:r>
    </w:p>
    <w:p>
      <w:pPr>
        <w:spacing w:after="0" w:line="204" w:lineRule="exact"/>
        <w:rPr>
          <w:sz w:val="20"/>
          <w:szCs w:val="20"/>
          <w:color w:val="auto"/>
        </w:rPr>
      </w:pPr>
    </w:p>
    <w:p>
      <w:pPr>
        <w:ind w:left="1240" w:hanging="309"/>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issuance of adverse inspectional observations,</w:t>
      </w:r>
    </w:p>
    <w:p>
      <w:pPr>
        <w:spacing w:after="0" w:line="21" w:lineRule="exact"/>
        <w:rPr>
          <w:rFonts w:ascii="Arial" w:cs="Arial" w:eastAsia="Arial" w:hAnsi="Arial"/>
          <w:sz w:val="17"/>
          <w:szCs w:val="17"/>
          <w:color w:val="auto"/>
        </w:rPr>
      </w:pPr>
    </w:p>
    <w:p>
      <w:pPr>
        <w:ind w:left="1240" w:hanging="309"/>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Warning or Courtesy Letters,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import refusals,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fines, injunctions, civil penalties, and facility suspensions,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withdrawal of regulatory approvals or registrations,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 recalls and product seizures, including cessation of manufacturing and sales,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operating restrictions, and</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criminal prosecution</w:t>
      </w:r>
    </w:p>
    <w:p>
      <w:pPr>
        <w:spacing w:after="0" w:line="168" w:lineRule="exact"/>
        <w:rPr>
          <w:sz w:val="20"/>
          <w:szCs w:val="20"/>
          <w:color w:val="auto"/>
        </w:rPr>
      </w:pPr>
    </w:p>
    <w:p>
      <w:pPr>
        <w:ind w:firstLine="619"/>
        <w:spacing w:after="0" w:line="312" w:lineRule="auto"/>
        <w:rPr>
          <w:sz w:val="20"/>
          <w:szCs w:val="20"/>
          <w:color w:val="auto"/>
        </w:rPr>
      </w:pPr>
      <w:r>
        <w:rPr>
          <w:rFonts w:ascii="Arial" w:cs="Arial" w:eastAsia="Arial" w:hAnsi="Arial"/>
          <w:sz w:val="16"/>
          <w:szCs w:val="16"/>
          <w:color w:val="auto"/>
        </w:rPr>
        <w:t>Compliance with foreign, federal, state, and local laws and regulations is costly and time-consuming. We may be required to incur significant costs to comply with the laws and regulations in the future which may have a material adverse effect on our business, operating results and financial condition.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7" w:name="page18"/>
    <w:bookmarkEnd w:id="17"/>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Our food packaging products are subject to regulation under the FDC Act. Under the FDC Act, any substance that when used as intended may reasonably be expected to become, directly or indirectly, a component or otherwise affect the characteristics of any food may be regulated as a food additive unless the substance is generally recognized as safe. Food packaging materials are generally not considered food additives by the FDA if the products are not expected to become components of food under their expected conditions of use. We consider our breathable membrane product to be a food packaging material not subject to approval by the FDA. We have not received any communication from the FDA concerning our breathable membrane product. If the FDA were to determine that our breathable membrane products are food additives, we may be required to submit a food contact substance notification or food additive petition for approval by the FDA. The food additive petition process, in particular, is lengthy, expensive and uncertain. A determination by the FDA that a food contact substance notification or food additive petition is necessary would have a material adverse effect on our business, operating results and financial condition.</w:t>
      </w:r>
    </w:p>
    <w:p>
      <w:pPr>
        <w:spacing w:after="0" w:line="12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Our Curation Foods business is subject to the Perishable Agricultural Commodities Act (“PACA”). PACA regulates fair trade standards in the fresh produce industry and governs all the products sold by Curation Foods. Our failure to comply with the PACA requirements could among other things, result in civil penalties, suspension or revocation of a license to sell produce, and in the most egregious cases, criminal prosecution, which could have a material adverse effect on our business. In addition, the FTC and other state authorities regulate how we promote and advertise our food products, and we could be the target of claims relating to alleged false or deceptive advertising under federal, state, and local laws and regulations.</w:t>
      </w:r>
    </w:p>
    <w:p>
      <w:pPr>
        <w:spacing w:after="0" w:line="130"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Lifecore’s existing products and the products that Lifecore is developing for its customers are considered to be medical devices, drug products, or combination products, and therefore, require clearance or approval by the FDA before commercial sales can be made in the United States. The products also require the approval of foreign government agencies before sales may be made in many other countries. The process of obtaining these clearances or approvals varies according to the nature and use of the product. It can involve lengthy and detailed safety and efficacy data, including clinical studies, as well as extensive site inspections and lengthy regulatory agency reviews. There can be no assurance that any of the clinical studies utilizing product produced by Lifecore for its customers will be authorized to proceed, or if authorized will show safety or effectiveness; that any of the products that Lifecore is producing for its customers that require FDA clearance or approval will obtain such clearance or approval on a timely basis, on terms acceptable to the sponsor company for the purpose of actually marketing the products, or at all; or that following any such clearance or approval previously unknown problems will not result in restrictions on the marketing of the products or withdrawal of clearance or approval.</w:t>
      </w:r>
    </w:p>
    <w:p>
      <w:pPr>
        <w:spacing w:after="0" w:line="14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In addition, most of the existing products being sold by Lifecore and its customers are subject to continued regulation by the FDA, various state agencies and foreign regulatory agencies, which regulate the design, nonclinical and clinical research studies, manufacturing, labeling, distribution, post-marketing product modifications, advertising, promotion, import, export, adverse event and other reporting, and record keeping procedures for such products. Aseptic processing and shared equipment manufacturing require specific quality controls. If we fail to achieve and maintain these controls, we may have to recall product, or may have to reduce or suspend production while we address any deficiencies. Marketing clearances or approvals by regulatory agencies can be withdrawn due to failure to comply with regulatory standards or the occurrence of unforeseen problems following initial clearance or approval. These agencies can also limit or prevent the manufacture or distribution of Lifecore’s products or change or increase the regulatory requirements applicable to such products. A determination that Lifecore is in violation of such regulations could lead to the issuance of adverse inspectional observations, a warning letter, imposition of civil penalties, including fines, product recalls or product seizures, preclusion of product import or export, a hold or delay in pending product approvals, withdrawal of marketing authorizations, injunctions against product manufacture and distribution, and, in extreme cases, criminal sanctions.</w:t>
      </w:r>
    </w:p>
    <w:p>
      <w:pPr>
        <w:spacing w:after="0" w:line="13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Federal, state and local regulations impose various environmental controls on the use, storage, discharge or disposal of toxic, volatile or otherwise hazardous chemicals and gases used in some of our manufacturing processes. Our failure to control the use of, or to restrict adequately the discharge of, hazardous substances under present or future regulations could subject us to substantial liability, cause us to clean up and incur remediation expenses, or cause our manufacturing operations to be suspended. In addition, changes in environmental regulations may impose the need for additional capital equipment or other requirements.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8" w:name="page19"/>
    <w:bookmarkEnd w:id="18"/>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Any new business acquisition </w:t>
      </w:r>
      <w:r>
        <w:rPr>
          <w:rFonts w:ascii="Arial" w:cs="Arial" w:eastAsia="Arial" w:hAnsi="Arial"/>
          <w:sz w:val="17"/>
          <w:szCs w:val="17"/>
          <w:color w:val="auto"/>
        </w:rPr>
        <w:t>w</w:t>
      </w:r>
      <w:r>
        <w:rPr>
          <w:rFonts w:ascii="Arial" w:cs="Arial" w:eastAsia="Arial" w:hAnsi="Arial"/>
          <w:sz w:val="17"/>
          <w:szCs w:val="17"/>
          <w:b w:val="1"/>
          <w:bCs w:val="1"/>
          <w:i w:val="1"/>
          <w:iCs w:val="1"/>
          <w:color w:val="auto"/>
        </w:rPr>
        <w:t>ill involve uncertainty relating to integration.</w:t>
      </w:r>
    </w:p>
    <w:p>
      <w:pPr>
        <w:spacing w:after="0" w:line="178"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 xml:space="preserve">We completed the Yucatan Foods acquisition in December, 2018, and the </w:t>
      </w:r>
      <w:r>
        <w:rPr>
          <w:rFonts w:ascii="Arial" w:cs="Arial" w:eastAsia="Arial" w:hAnsi="Arial"/>
          <w:sz w:val="16"/>
          <w:szCs w:val="16"/>
          <w:i w:val="1"/>
          <w:iCs w:val="1"/>
          <w:color w:val="auto"/>
        </w:rPr>
        <w:t>O</w:t>
      </w:r>
      <w:r>
        <w:rPr>
          <w:rFonts w:ascii="Arial" w:cs="Arial" w:eastAsia="Arial" w:hAnsi="Arial"/>
          <w:sz w:val="16"/>
          <w:szCs w:val="16"/>
          <w:color w:val="auto"/>
        </w:rPr>
        <w:t xml:space="preserve"> acquisition in March, 2017. We have acquired other businesses in the past and may make additional acquisitions in the future. The successful integration of new business acquisitions may require substantial effort from the Company’s management. The diversion of the attention of management and any difficulties encountered in the transition process could have a material adverse effect on the Company’s ability to realize the anticipated benefits of the acquisitions. The successful combination of new businesses also requires coordination of research and development activities, manufacturing, sales and marketing efforts. In addition, the process of combining organizations located in different geographic regions could cause the interruption of, or a loss of momentum in, the Company’s activities. There can be no assurance that the Company will be able to retain key management, technical, sales and customer support personnel, or that the Company will realize the anticipated benefits of any acquisitions, and the failure to do so would have a material adverse effect on the Company’s business,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achieve acceptance of our new products in the marketplace.</w:t>
      </w:r>
    </w:p>
    <w:p>
      <w:pPr>
        <w:spacing w:after="0" w:line="19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success in generating significant sales of our products depends in part on our ability and that of our partners and licensees to achieve market acceptance of our new products and technology. The extent to which, and rate at which, we achieve market acceptance, including customer preferences and trends, and penetration of our current and future products is a function of many variables including, but not limited to:</w:t>
      </w:r>
    </w:p>
    <w:p>
      <w:pPr>
        <w:spacing w:after="0" w:line="136" w:lineRule="exact"/>
        <w:rPr>
          <w:sz w:val="20"/>
          <w:szCs w:val="20"/>
          <w:color w:val="auto"/>
        </w:rPr>
      </w:pPr>
    </w:p>
    <w:p>
      <w:pPr>
        <w:ind w:left="1240" w:hanging="309"/>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price,</w:t>
      </w:r>
    </w:p>
    <w:p>
      <w:pPr>
        <w:spacing w:after="0" w:line="21" w:lineRule="exact"/>
        <w:rPr>
          <w:rFonts w:ascii="Arial" w:cs="Arial" w:eastAsia="Arial" w:hAnsi="Arial"/>
          <w:sz w:val="17"/>
          <w:szCs w:val="17"/>
          <w:color w:val="auto"/>
        </w:rPr>
      </w:pPr>
    </w:p>
    <w:p>
      <w:pPr>
        <w:ind w:left="1240" w:hanging="309"/>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safety,</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efficacy,</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reliability,</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conversion costs,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regulatory approvals,</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marketing and sales efforts, and</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general economic conditions affecting purchasing patterns</w:t>
      </w:r>
    </w:p>
    <w:p>
      <w:pPr>
        <w:spacing w:after="0" w:line="16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may not be able to develop and introduce new products and technologies in a timely manner or new products and technologies may not gain market acceptance. We and our partners/customers are in the early stage of product commercialization of certain Intelimer-based specialty packaging, and HA-based products and non-HA products and new oil and vinegar products. We expect that our future growth will depend in large part on our and our partners’/customers’ ability to develop and market new products in our target markets and in new markets. In particular, we expect that our ability to compete effectively with existing food products companies will depend substantially on developing, commercializing, achieving market acceptance of and reducing the cost of producing our products. In addition, commercial applications of some of our temperature switch polymer technology are relatively new and evolving. Our failure to develop new products or the failure of our new products to achieve market acceptance would have a material adverse effect on our business, results of operations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concentration of manufacturing for Lifecore and Curation Foods and may have to depend on third parties to manufacture our products.</w:t>
      </w:r>
    </w:p>
    <w:p>
      <w:pPr>
        <w:spacing w:after="0" w:line="25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have a limited number of manufacturing facilities, all of which use specialized manufacturing equipment to operate our business. Any disruptions in our primary manufacturing operations would reduce our ability to sell our products and would have a material adverse effect on our financial results, and create significant additional costs and inefficiencies if we were required to replace such facilities. Additionally, we may need to consider seeking collaborative arrangements with other companies to manufacture our products. If we become dependent upon third parties for the manufacture of our products, our profit margins and our ability to develop and deliver those products on a timely basis may be adversely affected. In that event, additional regulatory inspections or approvals may be required, and additional quality control measures would need to be implemented. Failures by third parties may impair our ability to deliver products on a timely basis and impair our competitive position. We may not be able to continue to successfully operate our manufacturing operations at acceptable costs, with acceptable yields, and retain adequately trained personnel.</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Potential indemnification obligations related to divestitures made in connection with the sale transactions related to Project SWIFT may have a material adverse effect on our business, financial condition and results of operations.</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transaction documents related to the Eat Smart Disposition and the BreatheWay Sale provide for, among other things, indemnification obligations designed to make us potentially financially responsible for certain breaches in any of our representations or warranties or covenants, and certain other matters pursuant to such agreements. If we are required to indemnify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9" w:name="page20"/>
    <w:bookmarkEnd w:id="19"/>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counterparties to these agreements, we may be subject to unforeseen or unanticipated liabilities, which may be material and which may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the risks of doing business internationally.</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are subject to the risks of doing business internationally. We conduct a substantial amount of business with growers and customers who are located outside the United States. We purchase avocados from foreign growers and packers, sell products to foreign customers, and operate a production facility in Mexico. In the most recent years, there has been an increase in organized crime in Mexico, and significant changes in the Mexican government, both of which create risk for our business. We are also subject to regulations imposed by the Mexican government and to examinations by the Mexican tax authorities. Significant changes to these government regulations and to assessments by the Mexican tax authorities can have a negative impact on our operations and operating results in Mexico.</w:t>
      </w:r>
    </w:p>
    <w:p>
      <w:pPr>
        <w:spacing w:after="0" w:line="20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Fluctuations in foreign currency exchange rates in Mexico may also adversely affect our operating results. While our operations are predominantly in the U.S., we are exposed to foreign currency exchange rate risk with respect to our sales, expenses, profits, assets and liabilities denominated in the Mexican peso. As a result, our financial performance may be affected by changes in foreign currency exchange rates. Moreover, any favorable or unfavorable impacts to gross profit, gross margin, income from operations or segment operating profit from fluctuations in foreign currency exchange rates are likely to be inconsistent year over year.</w:t>
      </w:r>
    </w:p>
    <w:p>
      <w:pPr>
        <w:spacing w:after="0" w:line="17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Since some of our expenses are paid in Mexican pesos and we sell our production in United States dollars, we are subject to changes in currency values that may adversely affect our results of operations. Our operations in the future could be affected by changes in the value of the Mexican peso against the United States dollar. The appreciation of non-U.S. dollar currencies such as the peso against the U.S. dollar increases expenses and the cost of purchasing capital assets in U.S. dollar terms in Mexico, which can adversely impact our operating results and cash flows. Conversely, depreciation of non-U.S. dollar currencies usually decreases operating costs and capital asset purchases in U.S. dollar terms. The value of cash and cash equivalents, and other monetary assets and liabilities denominated in foreign currencies, also fluctuate with changes in currency exchange rates.</w:t>
      </w:r>
    </w:p>
    <w:p>
      <w:pPr>
        <w:spacing w:after="0" w:line="19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For fiscal year 2022, approximately 21% of our consolidated net revenues were derived from product sales to international customers. A number of risks are inherent in international transactions. International sales and operations may be limited or disrupted by any of the following:</w:t>
      </w:r>
    </w:p>
    <w:p>
      <w:pPr>
        <w:spacing w:after="0" w:line="204" w:lineRule="exact"/>
        <w:rPr>
          <w:sz w:val="20"/>
          <w:szCs w:val="20"/>
          <w:color w:val="auto"/>
        </w:rPr>
      </w:pPr>
    </w:p>
    <w:p>
      <w:pPr>
        <w:ind w:left="1240" w:hanging="309"/>
        <w:spacing w:after="0"/>
        <w:tabs>
          <w:tab w:leader="none" w:pos="1240" w:val="left"/>
        </w:tabs>
        <w:numPr>
          <w:ilvl w:val="0"/>
          <w:numId w:val="11"/>
        </w:numPr>
        <w:rPr>
          <w:rFonts w:ascii="Arial" w:cs="Arial" w:eastAsia="Arial" w:hAnsi="Arial"/>
          <w:sz w:val="21"/>
          <w:szCs w:val="21"/>
          <w:color w:val="auto"/>
        </w:rPr>
      </w:pPr>
      <w:r>
        <w:rPr>
          <w:rFonts w:ascii="Arial" w:cs="Arial" w:eastAsia="Arial" w:hAnsi="Arial"/>
          <w:sz w:val="17"/>
          <w:szCs w:val="17"/>
          <w:color w:val="auto"/>
        </w:rPr>
        <w:t>regulatory approval process,</w:t>
      </w:r>
    </w:p>
    <w:p>
      <w:pPr>
        <w:spacing w:after="0" w:line="16" w:lineRule="exact"/>
        <w:rPr>
          <w:rFonts w:ascii="Arial" w:cs="Arial" w:eastAsia="Arial" w:hAnsi="Arial"/>
          <w:sz w:val="21"/>
          <w:szCs w:val="21"/>
          <w:color w:val="auto"/>
        </w:rPr>
      </w:pPr>
    </w:p>
    <w:p>
      <w:pPr>
        <w:ind w:left="1240" w:hanging="309"/>
        <w:spacing w:after="0"/>
        <w:tabs>
          <w:tab w:leader="none" w:pos="1240" w:val="left"/>
        </w:tabs>
        <w:numPr>
          <w:ilvl w:val="0"/>
          <w:numId w:val="11"/>
        </w:numPr>
        <w:rPr>
          <w:rFonts w:ascii="Arial" w:cs="Arial" w:eastAsia="Arial" w:hAnsi="Arial"/>
          <w:sz w:val="21"/>
          <w:szCs w:val="21"/>
          <w:color w:val="auto"/>
        </w:rPr>
      </w:pPr>
      <w:r>
        <w:rPr>
          <w:rFonts w:ascii="Arial" w:cs="Arial" w:eastAsia="Arial" w:hAnsi="Arial"/>
          <w:sz w:val="17"/>
          <w:szCs w:val="17"/>
          <w:color w:val="auto"/>
        </w:rPr>
        <w:t>government controls,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1"/>
        </w:numPr>
        <w:rPr>
          <w:rFonts w:ascii="Arial" w:cs="Arial" w:eastAsia="Arial" w:hAnsi="Arial"/>
          <w:sz w:val="21"/>
          <w:szCs w:val="21"/>
          <w:color w:val="auto"/>
        </w:rPr>
      </w:pPr>
      <w:r>
        <w:rPr>
          <w:rFonts w:ascii="Arial" w:cs="Arial" w:eastAsia="Arial" w:hAnsi="Arial"/>
          <w:sz w:val="17"/>
          <w:szCs w:val="17"/>
          <w:color w:val="auto"/>
        </w:rPr>
        <w:t>export license requirements,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1"/>
        </w:numPr>
        <w:rPr>
          <w:rFonts w:ascii="Arial" w:cs="Arial" w:eastAsia="Arial" w:hAnsi="Arial"/>
          <w:sz w:val="21"/>
          <w:szCs w:val="21"/>
          <w:color w:val="auto"/>
        </w:rPr>
      </w:pPr>
      <w:r>
        <w:rPr>
          <w:rFonts w:ascii="Arial" w:cs="Arial" w:eastAsia="Arial" w:hAnsi="Arial"/>
          <w:sz w:val="17"/>
          <w:szCs w:val="17"/>
          <w:color w:val="auto"/>
        </w:rPr>
        <w:t>political instability,</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1"/>
        </w:numPr>
        <w:rPr>
          <w:rFonts w:ascii="Arial" w:cs="Arial" w:eastAsia="Arial" w:hAnsi="Arial"/>
          <w:sz w:val="21"/>
          <w:szCs w:val="21"/>
          <w:color w:val="auto"/>
        </w:rPr>
      </w:pPr>
      <w:r>
        <w:rPr>
          <w:rFonts w:ascii="Arial" w:cs="Arial" w:eastAsia="Arial" w:hAnsi="Arial"/>
          <w:sz w:val="17"/>
          <w:szCs w:val="17"/>
          <w:color w:val="auto"/>
        </w:rPr>
        <w:t>price controls,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1"/>
        </w:numPr>
        <w:rPr>
          <w:rFonts w:ascii="Arial" w:cs="Arial" w:eastAsia="Arial" w:hAnsi="Arial"/>
          <w:sz w:val="21"/>
          <w:szCs w:val="21"/>
          <w:color w:val="auto"/>
        </w:rPr>
      </w:pPr>
      <w:r>
        <w:rPr>
          <w:rFonts w:ascii="Arial" w:cs="Arial" w:eastAsia="Arial" w:hAnsi="Arial"/>
          <w:sz w:val="17"/>
          <w:szCs w:val="17"/>
          <w:color w:val="auto"/>
        </w:rPr>
        <w:t>trade restrictions,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1"/>
        </w:numPr>
        <w:rPr>
          <w:rFonts w:ascii="Arial" w:cs="Arial" w:eastAsia="Arial" w:hAnsi="Arial"/>
          <w:sz w:val="21"/>
          <w:szCs w:val="21"/>
          <w:color w:val="auto"/>
        </w:rPr>
      </w:pPr>
      <w:r>
        <w:rPr>
          <w:rFonts w:ascii="Arial" w:cs="Arial" w:eastAsia="Arial" w:hAnsi="Arial"/>
          <w:sz w:val="17"/>
          <w:szCs w:val="17"/>
          <w:color w:val="auto"/>
        </w:rPr>
        <w:t>fluctuations in foreign currencies,</w:t>
      </w:r>
    </w:p>
    <w:p>
      <w:pPr>
        <w:spacing w:after="0" w:line="16" w:lineRule="exact"/>
        <w:rPr>
          <w:rFonts w:ascii="Arial" w:cs="Arial" w:eastAsia="Arial" w:hAnsi="Arial"/>
          <w:sz w:val="21"/>
          <w:szCs w:val="21"/>
          <w:color w:val="auto"/>
        </w:rPr>
      </w:pPr>
    </w:p>
    <w:p>
      <w:pPr>
        <w:ind w:left="1240" w:hanging="309"/>
        <w:spacing w:after="0"/>
        <w:tabs>
          <w:tab w:leader="none" w:pos="1240" w:val="left"/>
        </w:tabs>
        <w:numPr>
          <w:ilvl w:val="0"/>
          <w:numId w:val="11"/>
        </w:numPr>
        <w:rPr>
          <w:rFonts w:ascii="Arial" w:cs="Arial" w:eastAsia="Arial" w:hAnsi="Arial"/>
          <w:sz w:val="21"/>
          <w:szCs w:val="21"/>
          <w:color w:val="auto"/>
        </w:rPr>
      </w:pPr>
      <w:r>
        <w:rPr>
          <w:rFonts w:ascii="Arial" w:cs="Arial" w:eastAsia="Arial" w:hAnsi="Arial"/>
          <w:sz w:val="17"/>
          <w:szCs w:val="17"/>
          <w:color w:val="auto"/>
        </w:rPr>
        <w:t>changes in tariffs, or</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1"/>
        </w:numPr>
        <w:rPr>
          <w:rFonts w:ascii="Arial" w:cs="Arial" w:eastAsia="Arial" w:hAnsi="Arial"/>
          <w:sz w:val="21"/>
          <w:szCs w:val="21"/>
          <w:color w:val="auto"/>
        </w:rPr>
      </w:pPr>
      <w:r>
        <w:rPr>
          <w:rFonts w:ascii="Arial" w:cs="Arial" w:eastAsia="Arial" w:hAnsi="Arial"/>
          <w:sz w:val="17"/>
          <w:szCs w:val="17"/>
          <w:color w:val="auto"/>
        </w:rPr>
        <w:t>difficulties in staffing and managing international operations.</w:t>
      </w:r>
    </w:p>
    <w:p>
      <w:pPr>
        <w:spacing w:after="0" w:line="22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Foreign regulatory agencies have or may establish product standards different from those in the United States, and any inability on our part to obtain foreign regulatory approvals on a timely basis could have a material adverse effect on our international business, and our financial condition and results of operations. While our foreign sales are currently priced in dollars, fluctuations in currency exchange rates may reduce the demand for our products by increasing the price of our products in the currency of the countries in which the products are sold. Regulatory, geopolitical and other factors may adversely impact our operations in the future or require us to modify our current business practices.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dependence on single-source suppliers and service providers may cause disruption in our operations should any supplier fail to deliver materials.</w:t>
      </w:r>
    </w:p>
    <w:p>
      <w:pPr>
        <w:spacing w:after="0" w:line="26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Several of the raw materials we use to manufacture our products are currently purchased from a single source, including some monomers used to synthesize Intelimer polymers, substrate materials for our breathable membrane products, and raw materials for our HA products. Any interruption of our relationship with single-source suppliers or service providers could delay product shipments and materially harm our business. We may experience difficulty acquiring materials or services for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0" w:name="page21"/>
    <w:bookmarkEnd w:id="20"/>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manufacture of our products or we may not be able to obtain substitute vendors on a timely basis or at all. In addition, we may not be able to procure comparable materials at similar prices and terms within a reasonable time, if at all, all of which could materially harm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our infrastructure to have sufficient capacity to handle our on-going production needs.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If our machinery or facilities are damaged or impaired due to natural disasters or mechanical failure, or we lose members of our workforce such that our workforce falls below the levels needed to maintain our business, we may not be able to operate at a sufficient capacity to meet our production needs. This could have a material adverse effect on our business, which could impact our results of operations and our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strategic partners and licenses for future development.</w:t>
      </w:r>
    </w:p>
    <w:p>
      <w:pPr>
        <w:spacing w:after="0" w:line="24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Our strategy for development, clinical and field testing, manufacture, commercialization and marketing for some of our current and future products includes entering into various collaborations with corporate partners, licensees, and others. We are dependent on our corporate partners to develop, test, manufacture and/or market some of our products. Although we believe that our partners in these collaborations have an economic motivation to succeed in performing their contractual responsibilities, the amount and timing of resources to be devoted to these activities are not within our control. Our partners may not perform their obligations as expected or we may not derive any additional revenue from the arrangements. Our partners may not pay any additional option or license fees to us or may not develop, market or pay any royalty fees related to products under such agreements. Moreover, some of the collaborative agreements provide that they may be terminated at the discretion of the corporate partner, and some of the collaborative agreements provide for termination under other circumstances. Our partners may pursue existing or alternative technologies in preference to our technology. Furthermore, we may not be able to negotiate additional collaborative arrangements in the future on acceptable terms, if at all, and our collaborative arrangements may not be successful.</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Ownership of Our Common Stock</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which if not remediated, could adversely affect our business.</w:t>
      </w:r>
    </w:p>
    <w:p>
      <w:pPr>
        <w:spacing w:after="0" w:line="26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independent registered public accountants identified material weaknesses in our internal control over financial reporting related to the restatement described elsewhere in this Amendment No. 1 to this Annual Report on Form 10-K/A.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w:t>
      </w:r>
    </w:p>
    <w:p>
      <w:pPr>
        <w:spacing w:after="0" w:line="204"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financial results could be harmed and we could fail to meet our financial reporting obligations. As part of preparing our fiscal year 2022 consolidated financial statements, we identified an error in management’s conclusions regarding certain non-standard transactions, which included discontinued operations, and its impairment analysis of indefinite-lived and long-lived assets, resulting in (i) the presentation of certain amounts related to discontinued operations as a result of the Eat Smart Disposition, which resulted in an error in our previously reported consolidated balance sheet and quarterly statement of operations presented in our fiscal year 2022 third quarter consolidated financial statements; and (ii) the impairment of certain indefinite-lived and long-lived assets of Yucatan, which resulted in an error in our previously reported consolidated financial statements as of and for the year ended May 29, 2022 included in the Original Form 10-K. See Part II, Item 8. Financial Statements and Supplementary Data, Note 1 for further information. If the steps we take do not correct the material weaknesses in a timely manner, we may be unable to conclude in the future that we maintain effective internal control over financial reporting.</w:t>
      </w:r>
    </w:p>
    <w:p>
      <w:pPr>
        <w:spacing w:after="0" w:line="205"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See Item 9A., “Controls and Procedures,” in this Annual Report on Form 10-K/A for additional information regarding the identified material weaknesses and our actions to date to remediate the material weaknesses. The implementation of procedures to remediate the material weaknesses is ongoing and will require validation and testing of the design and operating effectiveness of internal controls over a sustained period of financial reporting cycles. We cannot be certain that these measures will successfully remediate the material weaknesses or that other material weaknesses and control deficiencies will not be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1" w:name="page22"/>
    <w:bookmarkEnd w:id="21"/>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discovered in the future. If our efforts are not successful or other material weaknesses or control deficiencies occur in the future, we may be unable to report our financial results accurately on a timely basis or help prevent fraud, which could cause our reported financial results to be materially misstated and result in the loss of investor confidence or delisting and cause the market price of our securities to decline.</w:t>
      </w:r>
    </w:p>
    <w:p>
      <w:pPr>
        <w:spacing w:after="0" w:line="20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While our management believes we have made progress toward remediating the underlying causes of the material weaknesses, the implementation of these procedures is ongoing and will require validation and testing of the design and operating effectiveness of internal controls over a sustained period of financial reporting cycles. We cannot be certain that these measures will successfully remediate the material weaknesses or that other material weaknesses and control deficiencies will not be discovered in the future. If our efforts are not successful or other material weaknesses or control deficiencies occur in the future, we may be unable to report our financial results accurately on a timely basis or help prevent fraud, which could cause our reported financial results to be materially misstated and result in the loss of investor confidence or delisting and cause the market price of our securities to decline.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operating results are likely to fluctuate which may cause our stock price to decline.</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the past, our results of operations have fluctuated significantly from quarter to quarter and are expected to continue to fluctuate in the future. Curation Foods can be affected by seasonal and weather-related factors which have impacted our financial results in the past due to shortages of essential value-added produce items. Lifecore can be affected by the timing of orders from its relatively small customer base and the timing of the shipment of those orders. Our earnings may also fluctuate based on our ability to collect accounts receivable from customers and on price fluctuations in fruit markets. Other factors that affect our operations include:</w:t>
      </w:r>
    </w:p>
    <w:p>
      <w:pPr>
        <w:spacing w:after="0" w:line="223" w:lineRule="exact"/>
        <w:rPr>
          <w:sz w:val="20"/>
          <w:szCs w:val="20"/>
          <w:color w:val="auto"/>
        </w:rPr>
      </w:pPr>
    </w:p>
    <w:p>
      <w:pPr>
        <w:ind w:left="1240" w:hanging="309"/>
        <w:spacing w:after="0"/>
        <w:tabs>
          <w:tab w:leader="none" w:pos="1240" w:val="left"/>
        </w:tabs>
        <w:numPr>
          <w:ilvl w:val="0"/>
          <w:numId w:val="12"/>
        </w:numPr>
        <w:rPr>
          <w:rFonts w:ascii="Arial" w:cs="Arial" w:eastAsia="Arial" w:hAnsi="Arial"/>
          <w:sz w:val="21"/>
          <w:szCs w:val="21"/>
          <w:color w:val="auto"/>
        </w:rPr>
      </w:pPr>
      <w:r>
        <w:rPr>
          <w:rFonts w:ascii="Arial" w:cs="Arial" w:eastAsia="Arial" w:hAnsi="Arial"/>
          <w:sz w:val="17"/>
          <w:szCs w:val="17"/>
          <w:color w:val="auto"/>
        </w:rPr>
        <w:t>our ability and our growers’ ability to obtain an adequate supply of labor,</w:t>
      </w:r>
    </w:p>
    <w:p>
      <w:pPr>
        <w:spacing w:after="0" w:line="16" w:lineRule="exact"/>
        <w:rPr>
          <w:rFonts w:ascii="Arial" w:cs="Arial" w:eastAsia="Arial" w:hAnsi="Arial"/>
          <w:sz w:val="21"/>
          <w:szCs w:val="21"/>
          <w:color w:val="auto"/>
        </w:rPr>
      </w:pPr>
    </w:p>
    <w:p>
      <w:pPr>
        <w:ind w:left="1240" w:hanging="309"/>
        <w:spacing w:after="0"/>
        <w:tabs>
          <w:tab w:leader="none" w:pos="1240" w:val="left"/>
        </w:tabs>
        <w:numPr>
          <w:ilvl w:val="0"/>
          <w:numId w:val="12"/>
        </w:numPr>
        <w:rPr>
          <w:rFonts w:ascii="Arial" w:cs="Arial" w:eastAsia="Arial" w:hAnsi="Arial"/>
          <w:sz w:val="21"/>
          <w:szCs w:val="21"/>
          <w:color w:val="auto"/>
        </w:rPr>
      </w:pPr>
      <w:r>
        <w:rPr>
          <w:rFonts w:ascii="Arial" w:cs="Arial" w:eastAsia="Arial" w:hAnsi="Arial"/>
          <w:sz w:val="17"/>
          <w:szCs w:val="17"/>
          <w:color w:val="auto"/>
        </w:rPr>
        <w:t>our growers’ ability to obtain an adequate supply of water,</w:t>
      </w:r>
    </w:p>
    <w:p>
      <w:pPr>
        <w:spacing w:after="0" w:line="11"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2"/>
        </w:numPr>
        <w:rPr>
          <w:rFonts w:ascii="Arial" w:cs="Arial" w:eastAsia="Arial" w:hAnsi="Arial"/>
          <w:sz w:val="21"/>
          <w:szCs w:val="21"/>
          <w:color w:val="auto"/>
        </w:rPr>
      </w:pPr>
      <w:r>
        <w:rPr>
          <w:rFonts w:ascii="Arial" w:cs="Arial" w:eastAsia="Arial" w:hAnsi="Arial"/>
          <w:sz w:val="17"/>
          <w:szCs w:val="17"/>
          <w:color w:val="auto"/>
        </w:rPr>
        <w:t>the seasonality and availability and quantity of our supplies,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2"/>
        </w:numPr>
        <w:rPr>
          <w:rFonts w:ascii="Arial" w:cs="Arial" w:eastAsia="Arial" w:hAnsi="Arial"/>
          <w:sz w:val="21"/>
          <w:szCs w:val="21"/>
          <w:color w:val="auto"/>
        </w:rPr>
      </w:pPr>
      <w:r>
        <w:rPr>
          <w:rFonts w:ascii="Arial" w:cs="Arial" w:eastAsia="Arial" w:hAnsi="Arial"/>
          <w:sz w:val="17"/>
          <w:szCs w:val="17"/>
          <w:color w:val="auto"/>
        </w:rPr>
        <w:t>our ability to process produce during critical harvest periods,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2"/>
        </w:numPr>
        <w:rPr>
          <w:rFonts w:ascii="Arial" w:cs="Arial" w:eastAsia="Arial" w:hAnsi="Arial"/>
          <w:sz w:val="21"/>
          <w:szCs w:val="21"/>
          <w:color w:val="auto"/>
        </w:rPr>
      </w:pPr>
      <w:r>
        <w:rPr>
          <w:rFonts w:ascii="Arial" w:cs="Arial" w:eastAsia="Arial" w:hAnsi="Arial"/>
          <w:sz w:val="17"/>
          <w:szCs w:val="17"/>
          <w:color w:val="auto"/>
        </w:rPr>
        <w:t>the timing and effects of ripening,</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2"/>
        </w:numPr>
        <w:rPr>
          <w:rFonts w:ascii="Arial" w:cs="Arial" w:eastAsia="Arial" w:hAnsi="Arial"/>
          <w:sz w:val="21"/>
          <w:szCs w:val="21"/>
          <w:color w:val="auto"/>
        </w:rPr>
      </w:pPr>
      <w:r>
        <w:rPr>
          <w:rFonts w:ascii="Arial" w:cs="Arial" w:eastAsia="Arial" w:hAnsi="Arial"/>
          <w:sz w:val="17"/>
          <w:szCs w:val="17"/>
          <w:color w:val="auto"/>
        </w:rPr>
        <w:t>the degree of perishability,</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2"/>
        </w:numPr>
        <w:rPr>
          <w:rFonts w:ascii="Arial" w:cs="Arial" w:eastAsia="Arial" w:hAnsi="Arial"/>
          <w:sz w:val="21"/>
          <w:szCs w:val="21"/>
          <w:color w:val="auto"/>
        </w:rPr>
      </w:pPr>
      <w:r>
        <w:rPr>
          <w:rFonts w:ascii="Arial" w:cs="Arial" w:eastAsia="Arial" w:hAnsi="Arial"/>
          <w:sz w:val="17"/>
          <w:szCs w:val="17"/>
          <w:color w:val="auto"/>
        </w:rPr>
        <w:t>the effectiveness of worldwide distribution systems,</w:t>
      </w:r>
    </w:p>
    <w:p>
      <w:pPr>
        <w:spacing w:after="0" w:line="16" w:lineRule="exact"/>
        <w:rPr>
          <w:rFonts w:ascii="Arial" w:cs="Arial" w:eastAsia="Arial" w:hAnsi="Arial"/>
          <w:sz w:val="21"/>
          <w:szCs w:val="21"/>
          <w:color w:val="auto"/>
        </w:rPr>
      </w:pPr>
    </w:p>
    <w:p>
      <w:pPr>
        <w:ind w:left="1240" w:hanging="309"/>
        <w:spacing w:after="0"/>
        <w:tabs>
          <w:tab w:leader="none" w:pos="1240" w:val="left"/>
        </w:tabs>
        <w:numPr>
          <w:ilvl w:val="0"/>
          <w:numId w:val="12"/>
        </w:numPr>
        <w:rPr>
          <w:rFonts w:ascii="Arial" w:cs="Arial" w:eastAsia="Arial" w:hAnsi="Arial"/>
          <w:sz w:val="21"/>
          <w:szCs w:val="21"/>
          <w:color w:val="auto"/>
        </w:rPr>
      </w:pPr>
      <w:r>
        <w:rPr>
          <w:rFonts w:ascii="Arial" w:cs="Arial" w:eastAsia="Arial" w:hAnsi="Arial"/>
          <w:sz w:val="17"/>
          <w:szCs w:val="17"/>
          <w:color w:val="auto"/>
        </w:rPr>
        <w:t>total worldwide industry volumes,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2"/>
        </w:numPr>
        <w:rPr>
          <w:rFonts w:ascii="Arial" w:cs="Arial" w:eastAsia="Arial" w:hAnsi="Arial"/>
          <w:sz w:val="21"/>
          <w:szCs w:val="21"/>
          <w:color w:val="auto"/>
        </w:rPr>
      </w:pPr>
      <w:r>
        <w:rPr>
          <w:rFonts w:ascii="Arial" w:cs="Arial" w:eastAsia="Arial" w:hAnsi="Arial"/>
          <w:sz w:val="17"/>
          <w:szCs w:val="17"/>
          <w:color w:val="auto"/>
        </w:rPr>
        <w:t>the seasonality and timing of consumer demand,</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2"/>
        </w:numPr>
        <w:rPr>
          <w:rFonts w:ascii="Arial" w:cs="Arial" w:eastAsia="Arial" w:hAnsi="Arial"/>
          <w:sz w:val="21"/>
          <w:szCs w:val="21"/>
          <w:color w:val="auto"/>
        </w:rPr>
      </w:pPr>
      <w:r>
        <w:rPr>
          <w:rFonts w:ascii="Arial" w:cs="Arial" w:eastAsia="Arial" w:hAnsi="Arial"/>
          <w:sz w:val="17"/>
          <w:szCs w:val="17"/>
          <w:color w:val="auto"/>
        </w:rPr>
        <w:t>foreign currency fluctuations, and</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2"/>
        </w:numPr>
        <w:rPr>
          <w:rFonts w:ascii="Arial" w:cs="Arial" w:eastAsia="Arial" w:hAnsi="Arial"/>
          <w:sz w:val="21"/>
          <w:szCs w:val="21"/>
          <w:color w:val="auto"/>
        </w:rPr>
      </w:pPr>
      <w:r>
        <w:rPr>
          <w:rFonts w:ascii="Arial" w:cs="Arial" w:eastAsia="Arial" w:hAnsi="Arial"/>
          <w:sz w:val="17"/>
          <w:szCs w:val="17"/>
          <w:color w:val="auto"/>
        </w:rPr>
        <w:t>foreign importation restrictions and foreign political risks.</w:t>
      </w:r>
    </w:p>
    <w:p>
      <w:pPr>
        <w:spacing w:after="0" w:line="222"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In addition, the COVID-19 pandemic has increased the risk of fluctuations in such factors. As a result of these and other factors, we expect to continue to experience fluctuations in quarterly operating results.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fluctuate in response to various conditions, many of which are beyond our control.</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market price of our common stock may fluctuate significantly in response to numerous factors, many of which are beyond our control, including the following:</w:t>
      </w:r>
    </w:p>
    <w:p>
      <w:pPr>
        <w:spacing w:after="0" w:line="204" w:lineRule="exact"/>
        <w:rPr>
          <w:sz w:val="20"/>
          <w:szCs w:val="20"/>
          <w:color w:val="auto"/>
        </w:rPr>
      </w:pPr>
    </w:p>
    <w:p>
      <w:pPr>
        <w:ind w:left="1240" w:hanging="309"/>
        <w:spacing w:after="0"/>
        <w:tabs>
          <w:tab w:leader="none" w:pos="1240" w:val="left"/>
        </w:tabs>
        <w:numPr>
          <w:ilvl w:val="0"/>
          <w:numId w:val="13"/>
        </w:numPr>
        <w:rPr>
          <w:rFonts w:ascii="Arial" w:cs="Arial" w:eastAsia="Arial" w:hAnsi="Arial"/>
          <w:sz w:val="21"/>
          <w:szCs w:val="21"/>
          <w:color w:val="auto"/>
        </w:rPr>
      </w:pPr>
      <w:r>
        <w:rPr>
          <w:rFonts w:ascii="Arial" w:cs="Arial" w:eastAsia="Arial" w:hAnsi="Arial"/>
          <w:sz w:val="17"/>
          <w:szCs w:val="17"/>
          <w:color w:val="auto"/>
        </w:rPr>
        <w:t>weather-related produce sourcing issues,</w:t>
      </w:r>
    </w:p>
    <w:p>
      <w:pPr>
        <w:spacing w:after="0" w:line="16" w:lineRule="exact"/>
        <w:rPr>
          <w:rFonts w:ascii="Arial" w:cs="Arial" w:eastAsia="Arial" w:hAnsi="Arial"/>
          <w:sz w:val="21"/>
          <w:szCs w:val="21"/>
          <w:color w:val="auto"/>
        </w:rPr>
      </w:pPr>
    </w:p>
    <w:p>
      <w:pPr>
        <w:ind w:left="1240" w:hanging="309"/>
        <w:spacing w:after="0"/>
        <w:tabs>
          <w:tab w:leader="none" w:pos="1240" w:val="left"/>
        </w:tabs>
        <w:numPr>
          <w:ilvl w:val="0"/>
          <w:numId w:val="13"/>
        </w:numPr>
        <w:rPr>
          <w:rFonts w:ascii="Arial" w:cs="Arial" w:eastAsia="Arial" w:hAnsi="Arial"/>
          <w:sz w:val="21"/>
          <w:szCs w:val="21"/>
          <w:color w:val="auto"/>
        </w:rPr>
      </w:pPr>
      <w:r>
        <w:rPr>
          <w:rFonts w:ascii="Arial" w:cs="Arial" w:eastAsia="Arial" w:hAnsi="Arial"/>
          <w:sz w:val="17"/>
          <w:szCs w:val="17"/>
          <w:color w:val="auto"/>
        </w:rPr>
        <w:t>technological innovations applicable to our products,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3"/>
        </w:numPr>
        <w:rPr>
          <w:rFonts w:ascii="Arial" w:cs="Arial" w:eastAsia="Arial" w:hAnsi="Arial"/>
          <w:sz w:val="21"/>
          <w:szCs w:val="21"/>
          <w:color w:val="auto"/>
        </w:rPr>
      </w:pPr>
      <w:r>
        <w:rPr>
          <w:rFonts w:ascii="Arial" w:cs="Arial" w:eastAsia="Arial" w:hAnsi="Arial"/>
          <w:sz w:val="17"/>
          <w:szCs w:val="17"/>
          <w:color w:val="auto"/>
        </w:rPr>
        <w:t>pandemics, epidemics and other natural disasters, including the COVID-19 pandemic,</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3"/>
        </w:numPr>
        <w:rPr>
          <w:rFonts w:ascii="Arial" w:cs="Arial" w:eastAsia="Arial" w:hAnsi="Arial"/>
          <w:sz w:val="21"/>
          <w:szCs w:val="21"/>
          <w:color w:val="auto"/>
        </w:rPr>
      </w:pPr>
      <w:r>
        <w:rPr>
          <w:rFonts w:ascii="Arial" w:cs="Arial" w:eastAsia="Arial" w:hAnsi="Arial"/>
          <w:sz w:val="17"/>
          <w:szCs w:val="17"/>
          <w:color w:val="auto"/>
        </w:rPr>
        <w:t>our attainment of (or failure to attain) milestones in the commercialization of our technology,</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3"/>
        </w:numPr>
        <w:rPr>
          <w:rFonts w:ascii="Arial" w:cs="Arial" w:eastAsia="Arial" w:hAnsi="Arial"/>
          <w:sz w:val="21"/>
          <w:szCs w:val="21"/>
          <w:color w:val="auto"/>
        </w:rPr>
      </w:pPr>
      <w:r>
        <w:rPr>
          <w:rFonts w:ascii="Arial" w:cs="Arial" w:eastAsia="Arial" w:hAnsi="Arial"/>
          <w:sz w:val="17"/>
          <w:szCs w:val="17"/>
          <w:color w:val="auto"/>
        </w:rPr>
        <w:t>our development of new products or the development of new products by our competitors,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3"/>
        </w:numPr>
        <w:rPr>
          <w:rFonts w:ascii="Arial" w:cs="Arial" w:eastAsia="Arial" w:hAnsi="Arial"/>
          <w:sz w:val="21"/>
          <w:szCs w:val="21"/>
          <w:color w:val="auto"/>
        </w:rPr>
      </w:pPr>
      <w:r>
        <w:rPr>
          <w:rFonts w:ascii="Arial" w:cs="Arial" w:eastAsia="Arial" w:hAnsi="Arial"/>
          <w:sz w:val="17"/>
          <w:szCs w:val="17"/>
          <w:color w:val="auto"/>
        </w:rPr>
        <w:t>new patents or changes in existing patents applicable to our products,</w:t>
      </w:r>
    </w:p>
    <w:p>
      <w:pPr>
        <w:spacing w:after="0" w:line="16" w:lineRule="exact"/>
        <w:rPr>
          <w:rFonts w:ascii="Arial" w:cs="Arial" w:eastAsia="Arial" w:hAnsi="Arial"/>
          <w:sz w:val="21"/>
          <w:szCs w:val="21"/>
          <w:color w:val="auto"/>
        </w:rPr>
      </w:pPr>
    </w:p>
    <w:p>
      <w:pPr>
        <w:ind w:left="1240" w:hanging="309"/>
        <w:spacing w:after="0"/>
        <w:tabs>
          <w:tab w:leader="none" w:pos="1240" w:val="left"/>
        </w:tabs>
        <w:numPr>
          <w:ilvl w:val="0"/>
          <w:numId w:val="13"/>
        </w:numPr>
        <w:rPr>
          <w:rFonts w:ascii="Arial" w:cs="Arial" w:eastAsia="Arial" w:hAnsi="Arial"/>
          <w:sz w:val="21"/>
          <w:szCs w:val="21"/>
          <w:color w:val="auto"/>
        </w:rPr>
      </w:pPr>
      <w:r>
        <w:rPr>
          <w:rFonts w:ascii="Arial" w:cs="Arial" w:eastAsia="Arial" w:hAnsi="Arial"/>
          <w:sz w:val="17"/>
          <w:szCs w:val="17"/>
          <w:color w:val="auto"/>
        </w:rPr>
        <w:t>our acquisition of new businesses or the sale or disposal of a part of our businesses,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3"/>
        </w:numPr>
        <w:rPr>
          <w:rFonts w:ascii="Arial" w:cs="Arial" w:eastAsia="Arial" w:hAnsi="Arial"/>
          <w:sz w:val="21"/>
          <w:szCs w:val="21"/>
          <w:color w:val="auto"/>
        </w:rPr>
      </w:pPr>
      <w:r>
        <w:rPr>
          <w:rFonts w:ascii="Arial" w:cs="Arial" w:eastAsia="Arial" w:hAnsi="Arial"/>
          <w:sz w:val="17"/>
          <w:szCs w:val="17"/>
          <w:color w:val="auto"/>
        </w:rPr>
        <w:t>development of new collaborative arrangements by us, our competitors or other parties,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3"/>
        </w:numPr>
        <w:rPr>
          <w:rFonts w:ascii="Arial" w:cs="Arial" w:eastAsia="Arial" w:hAnsi="Arial"/>
          <w:sz w:val="21"/>
          <w:szCs w:val="21"/>
          <w:color w:val="auto"/>
        </w:rPr>
      </w:pPr>
      <w:r>
        <w:rPr>
          <w:rFonts w:ascii="Arial" w:cs="Arial" w:eastAsia="Arial" w:hAnsi="Arial"/>
          <w:sz w:val="17"/>
          <w:szCs w:val="17"/>
          <w:color w:val="auto"/>
        </w:rPr>
        <w:t>changes in government regulations, interpretation, or enforcement applicable to our business,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3"/>
        </w:numPr>
        <w:rPr>
          <w:rFonts w:ascii="Arial" w:cs="Arial" w:eastAsia="Arial" w:hAnsi="Arial"/>
          <w:sz w:val="21"/>
          <w:szCs w:val="21"/>
          <w:color w:val="auto"/>
        </w:rPr>
      </w:pPr>
      <w:r>
        <w:rPr>
          <w:rFonts w:ascii="Arial" w:cs="Arial" w:eastAsia="Arial" w:hAnsi="Arial"/>
          <w:sz w:val="17"/>
          <w:szCs w:val="17"/>
          <w:color w:val="auto"/>
        </w:rPr>
        <w:t>changes in investor perception of our business,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13"/>
        </w:numPr>
        <w:rPr>
          <w:rFonts w:ascii="Arial" w:cs="Arial" w:eastAsia="Arial" w:hAnsi="Arial"/>
          <w:sz w:val="21"/>
          <w:szCs w:val="21"/>
          <w:color w:val="auto"/>
        </w:rPr>
      </w:pPr>
      <w:r>
        <w:rPr>
          <w:rFonts w:ascii="Arial" w:cs="Arial" w:eastAsia="Arial" w:hAnsi="Arial"/>
          <w:sz w:val="17"/>
          <w:szCs w:val="17"/>
          <w:color w:val="auto"/>
        </w:rPr>
        <w:t>fluctuations in our operating results, and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2" w:name="page23"/>
    <w:bookmarkEnd w:id="22"/>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1240" w:hanging="309"/>
        <w:spacing w:after="0"/>
        <w:tabs>
          <w:tab w:leader="none" w:pos="1240" w:val="left"/>
        </w:tabs>
        <w:numPr>
          <w:ilvl w:val="0"/>
          <w:numId w:val="14"/>
        </w:numPr>
        <w:rPr>
          <w:rFonts w:ascii="Arial" w:cs="Arial" w:eastAsia="Arial" w:hAnsi="Arial"/>
          <w:sz w:val="21"/>
          <w:szCs w:val="21"/>
          <w:color w:val="auto"/>
        </w:rPr>
      </w:pPr>
      <w:r>
        <w:rPr>
          <w:rFonts w:ascii="Arial" w:cs="Arial" w:eastAsia="Arial" w:hAnsi="Arial"/>
          <w:sz w:val="17"/>
          <w:szCs w:val="17"/>
          <w:color w:val="auto"/>
        </w:rPr>
        <w:t>changes in the general market conditions in our industry.</w:t>
      </w:r>
    </w:p>
    <w:p>
      <w:pPr>
        <w:spacing w:after="0" w:line="234"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Fluctuations in our quarterly results may, particularly if unforeseen, cause us to miss projections which might result in analysts or investors changing their valuation of our stock.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preferred stock with preferential rights that could affect your rights.</w:t>
      </w:r>
    </w:p>
    <w:p>
      <w:pPr>
        <w:spacing w:after="0" w:line="243" w:lineRule="exact"/>
        <w:rPr>
          <w:sz w:val="20"/>
          <w:szCs w:val="20"/>
          <w:color w:val="auto"/>
        </w:rPr>
      </w:pPr>
    </w:p>
    <w:p>
      <w:pPr>
        <w:ind w:firstLine="619"/>
        <w:spacing w:after="0" w:line="312" w:lineRule="auto"/>
        <w:rPr>
          <w:sz w:val="20"/>
          <w:szCs w:val="20"/>
          <w:color w:val="auto"/>
        </w:rPr>
      </w:pPr>
      <w:r>
        <w:rPr>
          <w:rFonts w:ascii="Arial" w:cs="Arial" w:eastAsia="Arial" w:hAnsi="Arial"/>
          <w:sz w:val="16"/>
          <w:szCs w:val="16"/>
          <w:color w:val="auto"/>
        </w:rPr>
        <w:t>The issuance of shares of preferred stock could have the effect of making it more difficult for a third-party to acquire a majority of our outstanding stock, and the holders of such preferred stock could have voting, dividend, liquidation and other rights superior to those of holders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any dividends on our common stock.</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We have not paid any dividends on our Common Stock since inception and do not expect to in the foreseeable future. Any dividends may be subject to preferential dividends payable on any preferred stock we may issue.</w:t>
      </w:r>
    </w:p>
    <w:p>
      <w:pPr>
        <w:spacing w:after="0" w:line="19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Our corporate organizational documents and Delaware law have anti-takeover provisions that may inhibit or prohibit a takeover of us and the replacement or removal of our management.</w:t>
      </w:r>
    </w:p>
    <w:p>
      <w:pPr>
        <w:spacing w:after="0" w:line="190"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anti-takeover provisions under Delaware law, as well as the provisions contained in our corporate organizational documents, may make an acquisition of us more difficult. For example:</w:t>
      </w:r>
    </w:p>
    <w:p>
      <w:pPr>
        <w:spacing w:after="0" w:line="229" w:lineRule="exact"/>
        <w:rPr>
          <w:sz w:val="20"/>
          <w:szCs w:val="20"/>
          <w:color w:val="auto"/>
        </w:rPr>
      </w:pPr>
    </w:p>
    <w:p>
      <w:pPr>
        <w:jc w:val="both"/>
        <w:ind w:left="1240" w:hanging="309"/>
        <w:spacing w:after="0" w:line="238" w:lineRule="auto"/>
        <w:tabs>
          <w:tab w:leader="none" w:pos="1235" w:val="left"/>
        </w:tabs>
        <w:numPr>
          <w:ilvl w:val="0"/>
          <w:numId w:val="15"/>
        </w:numPr>
        <w:rPr>
          <w:rFonts w:ascii="Arial" w:cs="Arial" w:eastAsia="Arial" w:hAnsi="Arial"/>
          <w:sz w:val="21"/>
          <w:szCs w:val="21"/>
          <w:color w:val="auto"/>
        </w:rPr>
      </w:pPr>
      <w:r>
        <w:rPr>
          <w:rFonts w:ascii="Arial" w:cs="Arial" w:eastAsia="Arial" w:hAnsi="Arial"/>
          <w:sz w:val="17"/>
          <w:szCs w:val="17"/>
          <w:color w:val="auto"/>
        </w:rPr>
        <w:t>our certificate of incorporation includes a provision authorizing our Board of Directors to issue blank check preferred stock without stockholder approval, which, if issued, would increase the number of outstanding shares of our capital stock and could make it more difficult for a stockholder to acquire us;</w:t>
      </w:r>
    </w:p>
    <w:p>
      <w:pPr>
        <w:spacing w:after="0" w:line="17" w:lineRule="exact"/>
        <w:rPr>
          <w:rFonts w:ascii="Arial" w:cs="Arial" w:eastAsia="Arial" w:hAnsi="Arial"/>
          <w:sz w:val="21"/>
          <w:szCs w:val="21"/>
          <w:color w:val="auto"/>
        </w:rPr>
      </w:pPr>
    </w:p>
    <w:p>
      <w:pPr>
        <w:ind w:left="1240" w:hanging="309"/>
        <w:spacing w:after="0"/>
        <w:tabs>
          <w:tab w:leader="none" w:pos="1240" w:val="left"/>
        </w:tabs>
        <w:numPr>
          <w:ilvl w:val="0"/>
          <w:numId w:val="15"/>
        </w:numPr>
        <w:rPr>
          <w:rFonts w:ascii="Arial" w:cs="Arial" w:eastAsia="Arial" w:hAnsi="Arial"/>
          <w:sz w:val="20"/>
          <w:szCs w:val="20"/>
          <w:color w:val="auto"/>
        </w:rPr>
      </w:pPr>
      <w:r>
        <w:rPr>
          <w:rFonts w:ascii="Arial" w:cs="Arial" w:eastAsia="Arial" w:hAnsi="Arial"/>
          <w:sz w:val="16"/>
          <w:szCs w:val="16"/>
          <w:color w:val="auto"/>
        </w:rPr>
        <w:t>our certificate of incorporation provides for a dual-class Board of Directors, in which each class will serve for a staggered two-year term;</w:t>
      </w:r>
    </w:p>
    <w:p>
      <w:pPr>
        <w:spacing w:after="0" w:line="27" w:lineRule="exact"/>
        <w:rPr>
          <w:rFonts w:ascii="Arial" w:cs="Arial" w:eastAsia="Arial" w:hAnsi="Arial"/>
          <w:sz w:val="20"/>
          <w:szCs w:val="20"/>
          <w:color w:val="auto"/>
        </w:rPr>
      </w:pPr>
    </w:p>
    <w:p>
      <w:pPr>
        <w:ind w:left="1240" w:hanging="309"/>
        <w:spacing w:after="0" w:line="232" w:lineRule="auto"/>
        <w:tabs>
          <w:tab w:leader="none" w:pos="1235" w:val="left"/>
        </w:tabs>
        <w:numPr>
          <w:ilvl w:val="0"/>
          <w:numId w:val="15"/>
        </w:numPr>
        <w:rPr>
          <w:rFonts w:ascii="Arial" w:cs="Arial" w:eastAsia="Arial" w:hAnsi="Arial"/>
          <w:sz w:val="21"/>
          <w:szCs w:val="21"/>
          <w:color w:val="auto"/>
        </w:rPr>
      </w:pPr>
      <w:r>
        <w:rPr>
          <w:rFonts w:ascii="Arial" w:cs="Arial" w:eastAsia="Arial" w:hAnsi="Arial"/>
          <w:sz w:val="17"/>
          <w:szCs w:val="17"/>
          <w:color w:val="auto"/>
        </w:rPr>
        <w:t>our certificate of incorporation limits the number of directors that may serve on the Board of Directors without the majority approval of all of the outstanding shares of our common stock;</w:t>
      </w:r>
    </w:p>
    <w:p>
      <w:pPr>
        <w:spacing w:after="0" w:line="4" w:lineRule="exact"/>
        <w:rPr>
          <w:rFonts w:ascii="Arial" w:cs="Arial" w:eastAsia="Arial" w:hAnsi="Arial"/>
          <w:sz w:val="21"/>
          <w:szCs w:val="21"/>
          <w:color w:val="auto"/>
        </w:rPr>
      </w:pPr>
    </w:p>
    <w:p>
      <w:pPr>
        <w:ind w:left="1240" w:hanging="309"/>
        <w:spacing w:after="0"/>
        <w:tabs>
          <w:tab w:leader="none" w:pos="1240" w:val="left"/>
        </w:tabs>
        <w:numPr>
          <w:ilvl w:val="0"/>
          <w:numId w:val="15"/>
        </w:numPr>
        <w:rPr>
          <w:rFonts w:ascii="Arial" w:cs="Arial" w:eastAsia="Arial" w:hAnsi="Arial"/>
          <w:sz w:val="21"/>
          <w:szCs w:val="21"/>
          <w:color w:val="auto"/>
        </w:rPr>
      </w:pPr>
      <w:r>
        <w:rPr>
          <w:rFonts w:ascii="Arial" w:cs="Arial" w:eastAsia="Arial" w:hAnsi="Arial"/>
          <w:sz w:val="17"/>
          <w:szCs w:val="17"/>
          <w:color w:val="auto"/>
        </w:rPr>
        <w:t>our amended and restated bylaws require advance notice of stockholder proposals and director nominations;</w:t>
      </w:r>
    </w:p>
    <w:p>
      <w:pPr>
        <w:spacing w:after="0" w:line="27" w:lineRule="exact"/>
        <w:rPr>
          <w:rFonts w:ascii="Arial" w:cs="Arial" w:eastAsia="Arial" w:hAnsi="Arial"/>
          <w:sz w:val="21"/>
          <w:szCs w:val="21"/>
          <w:color w:val="auto"/>
        </w:rPr>
      </w:pPr>
    </w:p>
    <w:p>
      <w:pPr>
        <w:ind w:left="1240" w:hanging="309"/>
        <w:spacing w:after="0" w:line="232" w:lineRule="auto"/>
        <w:tabs>
          <w:tab w:leader="none" w:pos="1235" w:val="left"/>
        </w:tabs>
        <w:numPr>
          <w:ilvl w:val="0"/>
          <w:numId w:val="15"/>
        </w:numPr>
        <w:rPr>
          <w:rFonts w:ascii="Arial" w:cs="Arial" w:eastAsia="Arial" w:hAnsi="Arial"/>
          <w:sz w:val="21"/>
          <w:szCs w:val="21"/>
          <w:color w:val="auto"/>
        </w:rPr>
      </w:pPr>
      <w:r>
        <w:rPr>
          <w:rFonts w:ascii="Arial" w:cs="Arial" w:eastAsia="Arial" w:hAnsi="Arial"/>
          <w:sz w:val="17"/>
          <w:szCs w:val="17"/>
          <w:color w:val="auto"/>
        </w:rPr>
        <w:t>our Board of Directors has the right to implement additional anti-takeover protections in the future, including stockholder rights plans and other amendments to our organizational documents, without stockholder approval; and</w:t>
      </w:r>
    </w:p>
    <w:p>
      <w:pPr>
        <w:spacing w:after="0" w:line="4" w:lineRule="exact"/>
        <w:rPr>
          <w:rFonts w:ascii="Arial" w:cs="Arial" w:eastAsia="Arial" w:hAnsi="Arial"/>
          <w:sz w:val="21"/>
          <w:szCs w:val="21"/>
          <w:color w:val="auto"/>
        </w:rPr>
      </w:pPr>
    </w:p>
    <w:p>
      <w:pPr>
        <w:ind w:left="1240" w:hanging="309"/>
        <w:spacing w:after="0"/>
        <w:tabs>
          <w:tab w:leader="none" w:pos="1240" w:val="left"/>
        </w:tabs>
        <w:numPr>
          <w:ilvl w:val="0"/>
          <w:numId w:val="15"/>
        </w:numPr>
        <w:rPr>
          <w:rFonts w:ascii="Arial" w:cs="Arial" w:eastAsia="Arial" w:hAnsi="Arial"/>
          <w:sz w:val="21"/>
          <w:szCs w:val="21"/>
          <w:color w:val="auto"/>
        </w:rPr>
      </w:pPr>
      <w:r>
        <w:rPr>
          <w:rFonts w:ascii="Arial" w:cs="Arial" w:eastAsia="Arial" w:hAnsi="Arial"/>
          <w:sz w:val="17"/>
          <w:szCs w:val="17"/>
          <w:color w:val="auto"/>
        </w:rPr>
        <w:t>Section 203 of the Delaware General Corporation Law may prevent large stockholders from completing a merger or acquisition of us.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These provisions may prevent a merger or acquisition of us which could limit the price investors would pay for our common stock in the future.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 Risks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U.S. trade policy, tariff and import/export regulations may have a material adverse effect on our business.</w:t>
      </w:r>
    </w:p>
    <w:p>
      <w:pPr>
        <w:spacing w:after="0" w:line="178"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Changes in U.S. or international social, political, regulatory and economic conditions or in laws and policies governing foreign trade, manufacturing, development and investment in the territories or countries where we currently sell our products or conduct our business, as well as any negative sentiment toward the U.S. as a result of such changes, could adversely affect our business. For example, the previous U.S. presidential administration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w:t>
      </w:r>
    </w:p>
    <w:p>
      <w:pPr>
        <w:spacing w:after="0" w:line="12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a result of such policy changes of the previous U.S. presidential administration and U.S. government proposals, there may be greater restrictions and economic disincentives on international trade. Tariffs and other changes in U.S. trade policy could trigger retaliatory actions by affected countries, and certain foreign governments have instituted or are considering imposing trade sanctions on certain U.S. goods. Such changes have the potential to adversely impact the U.S. economy or certain sectors thereof,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3" w:name="page24"/>
    <w:bookmarkEnd w:id="23"/>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industry and the global demand for our products, and as a result, could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exposed to employment related claims and costs that could materially adversely affect our business.</w:t>
      </w:r>
    </w:p>
    <w:p>
      <w:pPr>
        <w:spacing w:after="0" w:line="17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We have been subject in the past, and may be in the future, to claims by employees based on allegations of discrimination, negligence, harassment, and inadvertent employment of undocumented workers or unlicensed personnel, and we may be subject to payment of workers’ compensation claims and other similar claims. We could incur substantial costs and our management could spend a significant amount of time responding to such complaints or litigation regarding employee claims, which may have a material adverse effect on our business, operating results and financial condition. In addition, several recent decisions by the United States NLRB have found companies, such as Curation Foods, which use contract employees could be found to be “joint employers” with the staffing firm, which may increase our potential exposure for any such claims from contract employees.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unionization, work stoppages, slowdowns or increased labor costs.</w:t>
      </w:r>
    </w:p>
    <w:p>
      <w:pPr>
        <w:spacing w:after="0" w:line="178"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None of our U.S. based employees are represented by a union, while our employees in our Tanok, Mexico facility are represented by a local union. However, our employees have the right under the National Labor Relations Act to form or affiliate with a union. If some or all of our workforce were to become unionized and the terms of the collective bargaining agreement were significantly different from our current compensation arrangements, it could increase our costs and adversely impact our profitability. Moreover, participation in labor unions could put us at increased risk of labor strikes and disruption of our operations.</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dependent on our key employees and if one or more of them were to leave, we could experience difficulties in replacing them, or effectively transitioning their replacements and our operating results could suffer.</w:t>
      </w:r>
    </w:p>
    <w:p>
      <w:pPr>
        <w:spacing w:after="0" w:line="13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success of our business depends to a significant extent on the continued service and performance of a relatively small number of key senior management, technical, sales, and marketing personnel. The loss of any of our key personnel for an extended period may cause hardship for our business. In addition, competition for senior level personnel with knowledge and experience in our different lines of business is intense. If any of our key personnel were to leave, we would need to devote substantial resources and management attention to replace them. As a result, management attention may be diverted from managing our business, and we may need to pay higher compensation to replace these employees.</w:t>
      </w:r>
    </w:p>
    <w:p>
      <w:pPr>
        <w:spacing w:after="0" w:line="14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Our reputation and business may be harmed if our computer network security or any of the databases containing our trade secrets, proprietary information or the personal information of our employees, or those of third parties, are compromised.</w:t>
      </w:r>
    </w:p>
    <w:p>
      <w:pPr>
        <w:spacing w:after="0" w:line="126"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Cyber-attacks or security breaches could compromise our confidential business information, cause a disruption in the Company’s operations or harm our reputation. We maintain numerous information assets, including intellectual property, trade secrets, banking information and other sensitive information critical to the operation and success of our business on computer networks, and such information may be compromised in the event that the security of such networks is breached. We also maintain confidential information regarding our employees and job applicants, including personal identification information. The protection of employee and company data in the information technology systems we utilize (including those maintained by third-party providers) is critical. Despite the efforts by us to secure computer networks utilized for our business, security could be compromised, confidential information, such as Company information assets and personally identifiable employee information, could be misappropriated, or system disruptions could occur.</w:t>
      </w:r>
    </w:p>
    <w:p>
      <w:pPr>
        <w:spacing w:after="0" w:line="1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addition, cyber-attacks on our customers or vendors could disrupt our ability to procure product from our vendors or our customers’ ability to order our products, and may negatively impact our reputation. Any of these occurrences could disrupt our business, result in potential liability or reputational damage or otherwise have an adverse effect on our financial results.</w:t>
      </w:r>
    </w:p>
    <w:p>
      <w:pPr>
        <w:spacing w:after="0" w:line="136"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In addition, we may not have the resources or technical sophistication to anticipate or prevent rapidly evolving types of cyberattacks. Attacks may be targeted at us, our customers, or others who have entrusted us with information. Actual or anticipated attacks may cause us to incur increasing costs, including costs to deploy additional personnel and protection technologies, train employees, and engage third-party experts and consultants. Advances in computer capabilities, new technological discoveries or other developments may result in the technology used by us to protect sensitive Company data being breached or compromised. Furthermore, actual or anticipated cyberattacks or data breaches may cause significant disruptions to our network operations, which may impact our ability to deliver shipments or respond to customer needs in a timely or efficient manner.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4" w:name="page25"/>
    <w:bookmarkEnd w:id="24"/>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Data and security breaches could also occur as a result of non-technical issues, including an intentional or inadvertent breach by our employees or by persons with whom we have commercial relationships that result in the unauthorized release of confidential information related to our business or personal information of our employees. Any compromise or breach of our computer network security could result in a violation of applicable privacy and other laws, costly investigations and litigation, and potential regulatory or other actions by governmental agencies. As a result of any of the foregoing, we could experience adverse publicity, the compromise of valuable information assets, loss of sales, the cost of remedial measures and/or significant expenditures to reimburse third parties for resulting damages, any of which could adversely impact our brand, our business and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adequately protect our intellectual property rights or may infringe intellectual property rights of others.</w:t>
      </w:r>
    </w:p>
    <w:p>
      <w:pPr>
        <w:spacing w:after="0" w:line="17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may receive notices from third parties, including some of our competitors, claiming infringement by our products of their patent and other proprietary rights. Regardless of their merit, responding to any such claim could be time-consuming, result in costly litigation and require us to enter royalty and licensing agreements which may not be offered or available on terms acceptable to us. If a successful claim is made against us and we fail to develop or license a substitute technology, we could be required to alter our products or processes and our business, results of operations or financial position could be materially adversely affected. Our success depends in large part on our ability to obtain patents, maintain trade secret protection, and operate without infringing on the proprietary rights of third parties. Any pending patent applications we file may not be approved and we may not be able to develop additional proprietary products that are patentable. Any patents issued to us may not provide us with competitive advantages or may be challenged by third parties. Patents held by others may prevent the commercialization of products incorporating our technology. Furthermore, others may independently develop similar products, duplicate our products or design around our patents.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global economy is experiencing continued volatility, which may have an adverse effect on our business.</w:t>
      </w:r>
    </w:p>
    <w:p>
      <w:pPr>
        <w:spacing w:after="0" w:line="17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recent years, the U.S. and international economy and financial markets have experienced significant volatility due to uncertainties related to the availability of credit, energy prices, the COVID-19 pandemic, national elections and other political events, difficulties in the banking and financial services sectors, diminished market liquidity, and geopolitical conflicts. Ongoing volatility in the economy and financial markets could further lead to reduced demand for our products, which in turn, would reduce our revenues and adversely affect our business, financial condition and results of operations. In particular, volatility in the global markets have resulted in softer demand and more conservative purchasing decisions by customers, including a tendency toward lower-priced products, which could negatively impact our revenues, gross margins and results of operations. In addition to a reduction in sales, our profitability may decrease because we may not be able to reduce costs at the same rate as our sales decline. We cannot predict the ultimate severity or length of the current period of volatility, or the timing or severity of future economic or industry downturns.</w:t>
      </w:r>
    </w:p>
    <w:p>
      <w:pPr>
        <w:spacing w:after="0" w:line="1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Given the current uncertain economic environment, and the COVID-19 pandemic, our customers, suppliers, and partners may have difficulties obtaining capital at adequate or historical levels to finance their ongoing business and operations, which could impair their ability to make timely payments to us. This may result in lower sales and/or inventory that may not be saleable or may result in bad debt expenses for us. A worsening of the economic environment or continued or increased volatility of the U.S. economy, including increased volatility in the credit markets, could adversely impact our customers’ and vendors’ ability or willingness to conduct business with us on the same terms or at the same levels as they have historically. Further, this economic volatility and uncertainty about future economic conditions makes it challenging for Landec to forecast its operating results, make business decisions, and identify the risks that may affect its business, sources and uses of cash,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costs and the outcome of litigation could have a material adverse effect on our business.</w:t>
      </w:r>
    </w:p>
    <w:p>
      <w:pPr>
        <w:spacing w:after="0" w:line="17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From time to time we may be subject to litigation claims through the ordinary course of our business operations regarding, but not limited to, employment matters, safety standards, product liability, security of customer and employee personal information, contractual relations with vendors, marketing and infringement of trademarks and other intellectual property rights. In addition, as described elsewhere in this report, the COVID-19 pandemic, and our responses thereto, may subject us to further litigation, including with respect to employment matters, contract disputes, and other matters. Litigation to defend ourselves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5" w:name="page26"/>
    <w:bookmarkEnd w:id="25"/>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Future lapses in disclosure controls and procedures or internal control over financial reporting could materially and adversely affect the Company’s operations, profitability or reputation.</w:t>
      </w:r>
    </w:p>
    <w:p>
      <w:pPr>
        <w:spacing w:after="0" w:line="12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As described in the Risk Factor entitled “We have identified material weaknesses in our internal control over financial reporting, which if not remediated, could adversely affect our business”, the Company has identified lapses and deficiencies in its controls and procedures, which have resulted in material weaknesses. Additional lapses or deficiencies in disclosure controls and procedures or in our internal control over financial reporting may occur from time to time in the future. There can be no assurance that our disclosure controls and procedures will be effective in preventing a material weakness or significant deficiency in internal control over financial reporting from occurring in the future. Any such lapses or deficiencies may materially and adversely affect our business and results of operations or financial condition, restrict our ability to access the capital markets, require us to expend resources to correct the lapses or deficiencies, which could include the restating of previously reported financial results, expose us to regulatory or legal proceedings, harm our reputation, or otherwise cause a decline in investor confidence.</w:t>
      </w:r>
    </w:p>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4"/>
          <w:szCs w:val="14"/>
          <w:b w:val="1"/>
          <w:bCs w:val="1"/>
          <w:i w:val="1"/>
          <w:iCs w:val="1"/>
          <w:color w:val="auto"/>
        </w:rPr>
        <w:t>Unresolved Staff Comments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May 29, 2022, the Company owned or leased the following principle physical properties: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98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Location</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Business Segment</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Ownership</w:t>
            </w:r>
          </w:p>
        </w:tc>
        <w:tc>
          <w:tcPr>
            <w:tcW w:w="100" w:type="dxa"/>
            <w:vAlign w:val="bottom"/>
            <w:tcBorders>
              <w:bottom w:val="single" w:sz="8" w:color="CCEEFF"/>
            </w:tcBorders>
          </w:tcPr>
          <w:p>
            <w:pPr>
              <w:spacing w:after="0"/>
              <w:rPr>
                <w:sz w:val="18"/>
                <w:szCs w:val="18"/>
                <w:color w:val="auto"/>
              </w:rPr>
            </w:pPr>
          </w:p>
        </w:tc>
        <w:tc>
          <w:tcPr>
            <w:tcW w:w="6180" w:type="dxa"/>
            <w:vAlign w:val="bottom"/>
            <w:tcBorders>
              <w:bottom w:val="single" w:sz="8" w:color="auto"/>
            </w:tcBorders>
          </w:tcPr>
          <w:p>
            <w:pPr>
              <w:ind w:left="2780"/>
              <w:spacing w:after="0"/>
              <w:rPr>
                <w:sz w:val="20"/>
                <w:szCs w:val="20"/>
                <w:color w:val="auto"/>
              </w:rPr>
            </w:pPr>
            <w:r>
              <w:rPr>
                <w:rFonts w:ascii="Arial" w:cs="Arial" w:eastAsia="Arial" w:hAnsi="Arial"/>
                <w:sz w:val="17"/>
                <w:szCs w:val="17"/>
                <w:color w:val="auto"/>
              </w:rPr>
              <w:t>Facilities</w:t>
            </w:r>
          </w:p>
        </w:tc>
      </w:tr>
      <w:tr>
        <w:trPr>
          <w:trHeight w:val="213"/>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Chaska, MN</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5"/>
              </w:rPr>
              <w:t>Lifecore</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Owned</w:t>
            </w:r>
          </w:p>
        </w:tc>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148,200 square feet of office, laboratory and manufacturing space</w:t>
            </w:r>
          </w:p>
        </w:tc>
      </w:tr>
      <w:tr>
        <w:trPr>
          <w:trHeight w:val="218"/>
        </w:trPr>
        <w:tc>
          <w:tcPr>
            <w:tcW w:w="2080" w:type="dxa"/>
            <w:vAlign w:val="bottom"/>
            <w:gridSpan w:val="2"/>
          </w:tcPr>
          <w:p>
            <w:pPr>
              <w:ind w:left="20"/>
              <w:spacing w:after="0"/>
              <w:rPr>
                <w:sz w:val="20"/>
                <w:szCs w:val="20"/>
                <w:color w:val="auto"/>
              </w:rPr>
            </w:pPr>
            <w:r>
              <w:rPr>
                <w:rFonts w:ascii="Arial" w:cs="Arial" w:eastAsia="Arial" w:hAnsi="Arial"/>
                <w:sz w:val="17"/>
                <w:szCs w:val="17"/>
                <w:color w:val="auto"/>
              </w:rPr>
              <w:t>Silao, Guanajuato, Mexico</w:t>
            </w:r>
          </w:p>
        </w:tc>
        <w:tc>
          <w:tcPr>
            <w:tcW w:w="17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Curation Foods</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5"/>
              </w:rPr>
              <w:t>Leased</w:t>
            </w:r>
          </w:p>
        </w:tc>
        <w:tc>
          <w:tcPr>
            <w:tcW w:w="6180" w:type="dxa"/>
            <w:vAlign w:val="bottom"/>
          </w:tcPr>
          <w:p>
            <w:pPr>
              <w:ind w:left="20"/>
              <w:spacing w:after="0"/>
              <w:rPr>
                <w:sz w:val="20"/>
                <w:szCs w:val="20"/>
                <w:color w:val="auto"/>
              </w:rPr>
            </w:pPr>
            <w:r>
              <w:rPr>
                <w:rFonts w:ascii="Arial" w:cs="Arial" w:eastAsia="Arial" w:hAnsi="Arial"/>
                <w:sz w:val="17"/>
                <w:szCs w:val="17"/>
                <w:color w:val="auto"/>
              </w:rPr>
              <w:t>97,000 square feet of office and manufacturing space</w:t>
            </w:r>
          </w:p>
        </w:tc>
      </w:tr>
      <w:tr>
        <w:trPr>
          <w:trHeight w:val="220"/>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Chaska, MN</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5"/>
              </w:rPr>
              <w:t>Lifecore</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5"/>
              </w:rPr>
              <w:t>Leased</w:t>
            </w:r>
          </w:p>
        </w:tc>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80,950 square feet of office, manufacturing and warehouse space</w:t>
            </w:r>
          </w:p>
        </w:tc>
      </w:tr>
      <w:tr>
        <w:trPr>
          <w:trHeight w:val="218"/>
        </w:trPr>
        <w:tc>
          <w:tcPr>
            <w:tcW w:w="2080" w:type="dxa"/>
            <w:vAlign w:val="bottom"/>
            <w:gridSpan w:val="2"/>
          </w:tcPr>
          <w:p>
            <w:pPr>
              <w:ind w:left="20"/>
              <w:spacing w:after="0"/>
              <w:rPr>
                <w:sz w:val="20"/>
                <w:szCs w:val="20"/>
                <w:color w:val="auto"/>
              </w:rPr>
            </w:pPr>
            <w:r>
              <w:rPr>
                <w:rFonts w:ascii="Arial" w:cs="Arial" w:eastAsia="Arial" w:hAnsi="Arial"/>
                <w:sz w:val="17"/>
                <w:szCs w:val="17"/>
                <w:color w:val="auto"/>
              </w:rPr>
              <w:t>Santa Maria, CA</w:t>
            </w:r>
          </w:p>
        </w:tc>
        <w:tc>
          <w:tcPr>
            <w:tcW w:w="17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Curation Foods</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5"/>
              </w:rPr>
              <w:t>Leased</w:t>
            </w:r>
          </w:p>
        </w:tc>
        <w:tc>
          <w:tcPr>
            <w:tcW w:w="6180" w:type="dxa"/>
            <w:vAlign w:val="bottom"/>
          </w:tcPr>
          <w:p>
            <w:pPr>
              <w:ind w:left="20"/>
              <w:spacing w:after="0"/>
              <w:rPr>
                <w:sz w:val="20"/>
                <w:szCs w:val="20"/>
                <w:color w:val="auto"/>
              </w:rPr>
            </w:pPr>
            <w:r>
              <w:rPr>
                <w:rFonts w:ascii="Arial" w:cs="Arial" w:eastAsia="Arial" w:hAnsi="Arial"/>
                <w:sz w:val="17"/>
                <w:szCs w:val="17"/>
                <w:color w:val="auto"/>
              </w:rPr>
              <w:t>36,300 square feet of office and laboratory space</w:t>
            </w:r>
          </w:p>
        </w:tc>
      </w:tr>
      <w:tr>
        <w:trPr>
          <w:trHeight w:val="220"/>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Chanhassen, MN</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5"/>
              </w:rPr>
              <w:t>Lifecore</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5"/>
              </w:rPr>
              <w:t>Leased</w:t>
            </w:r>
          </w:p>
        </w:tc>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21,384 square feet of warehouse and office space</w:t>
            </w:r>
          </w:p>
        </w:tc>
      </w:tr>
      <w:tr>
        <w:trPr>
          <w:trHeight w:val="218"/>
        </w:trPr>
        <w:tc>
          <w:tcPr>
            <w:tcW w:w="2080" w:type="dxa"/>
            <w:vAlign w:val="bottom"/>
            <w:gridSpan w:val="2"/>
          </w:tcPr>
          <w:p>
            <w:pPr>
              <w:ind w:left="20"/>
              <w:spacing w:after="0"/>
              <w:rPr>
                <w:sz w:val="20"/>
                <w:szCs w:val="20"/>
                <w:color w:val="auto"/>
              </w:rPr>
            </w:pPr>
            <w:r>
              <w:rPr>
                <w:rFonts w:ascii="Arial" w:cs="Arial" w:eastAsia="Arial" w:hAnsi="Arial"/>
                <w:sz w:val="17"/>
                <w:szCs w:val="17"/>
                <w:color w:val="auto"/>
              </w:rPr>
              <w:t>Petaluma, CA</w:t>
            </w:r>
          </w:p>
        </w:tc>
        <w:tc>
          <w:tcPr>
            <w:tcW w:w="17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Curation Foods</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5"/>
              </w:rPr>
              <w:t>Leased</w:t>
            </w:r>
          </w:p>
        </w:tc>
        <w:tc>
          <w:tcPr>
            <w:tcW w:w="6180" w:type="dxa"/>
            <w:vAlign w:val="bottom"/>
          </w:tcPr>
          <w:p>
            <w:pPr>
              <w:ind w:left="20"/>
              <w:spacing w:after="0"/>
              <w:rPr>
                <w:sz w:val="20"/>
                <w:szCs w:val="20"/>
                <w:color w:val="auto"/>
              </w:rPr>
            </w:pPr>
            <w:r>
              <w:rPr>
                <w:rFonts w:ascii="Arial" w:cs="Arial" w:eastAsia="Arial" w:hAnsi="Arial"/>
                <w:sz w:val="17"/>
                <w:szCs w:val="17"/>
                <w:color w:val="auto"/>
              </w:rPr>
              <w:t>18,400 square feet of office and manufacturing space</w:t>
            </w:r>
          </w:p>
        </w:tc>
      </w:tr>
    </w:tbl>
    <w:p>
      <w:pPr>
        <w:spacing w:after="0" w:line="24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does not anticipate experiencing significant difficulty in retaining occupancy of any of our manufacturing, laboratory, cold storage, or office facilities through lease renewals prior to expiration or through month-to-month occupancy, or in replacing them with equivalent facilities. We believe our existing facilities, both owned and leased, are in good condition and suitable for the conduct of our business.</w:t>
      </w:r>
    </w:p>
    <w:p>
      <w:pPr>
        <w:spacing w:after="0" w:line="19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Legal Proceedings</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information contained in Note 9 - Commitments and Contingencies to the Consolidated Financial Statements included elsewhere in this Annual Report on Form 10-K/A is incorporated herein by reference.</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i w:val="1"/>
          <w:iCs w:val="1"/>
          <w:color w:val="auto"/>
        </w:rPr>
        <w:t>Mine Safety Disclosures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6" w:name="page27"/>
    <w:bookmarkEnd w:id="26"/>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PART II</w:t>
      </w:r>
    </w:p>
    <w:p>
      <w:pPr>
        <w:spacing w:after="0" w:line="243" w:lineRule="exact"/>
        <w:rPr>
          <w:sz w:val="20"/>
          <w:szCs w:val="20"/>
          <w:color w:val="auto"/>
        </w:rPr>
      </w:pPr>
    </w:p>
    <w:p>
      <w:pPr>
        <w:ind w:right="2580"/>
        <w:spacing w:after="0" w:line="462" w:lineRule="auto"/>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r>
        <w:rPr>
          <w:rFonts w:ascii="Arial" w:cs="Arial" w:eastAsia="Arial" w:hAnsi="Arial"/>
          <w:sz w:val="17"/>
          <w:szCs w:val="17"/>
          <w:b w:val="1"/>
          <w:bCs w:val="1"/>
          <w:color w:val="auto"/>
        </w:rPr>
        <w:t xml:space="preserve"> Market Information</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Common Stock is traded on the NASDAQ Global Select Market under the symbol “LFCR”.</w:t>
      </w:r>
    </w:p>
    <w:p>
      <w:pPr>
        <w:spacing w:after="0" w:line="19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On November 14, 2022, the Company changed its name from “Landec Corporation” to “Lifecore Biomedical, Inc.” (the “Name Change”) Currently therewith, the Company also changed the name of its wholly owned subsidiary from “Lifecore Biomedical, Inc.” to “Lifecore Biomedical Operating Company, Inc.” Unless context otherwise requires, all references to “Landec Corporation” or “Landec” contained in the Annual Report refer to the Company, and all references to “Lifecore Biomedical, Inc.,” “Lifecore Biomedical,” or “Lifecore” refer to Lifecore Biomedical Operating Company, Inc. In connection with the Name Change, the Company’s common stock began trading under its new NASDAQ ticker symbol “LFCR” on November 15, 2022.</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Holders</w:t>
      </w:r>
    </w:p>
    <w:p>
      <w:pPr>
        <w:spacing w:after="0" w:line="17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March 15, 2023, there were approximately 45 holders of record of our common stock. Since certain holders are listed under their brokerage firm’s names, the actual number of stockholders is higher.</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17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has not paid any dividends on the Common Stock since its inception. The Company presently intends to retain all future earnings, if any, for its business and does not anticipate paying cash dividends on its Common Stock in the foreseeable future.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Issuer Purchases of Equity Securities</w:t>
      </w:r>
    </w:p>
    <w:p>
      <w:pPr>
        <w:spacing w:after="0" w:line="19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For the twelve months ended May 29, 2022, there have been no shares repurchased by the Company. The Company may still repurchase up to $3.8 million of the Company’s Common Stock under the Company’s stock repurchase plan announced on July 14, 2010.</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Sales of Unregistered Equity Securities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did not sell any unregistered equity securities during the twelve months ended May 29, 2022.</w:t>
      </w: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3"/>
          <w:szCs w:val="13"/>
          <w:b w:val="1"/>
          <w:bCs w:val="1"/>
          <w:i w:val="1"/>
          <w:iCs w:val="1"/>
          <w:color w:val="auto"/>
        </w:rPr>
        <w:t>Reserved</w:t>
      </w:r>
    </w:p>
    <w:p>
      <w:pPr>
        <w:spacing w:after="0" w:line="24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i w:val="1"/>
          <w:iCs w:val="1"/>
          <w:color w:val="auto"/>
        </w:rPr>
        <w:t>Management’s Discussion and Analysis of Financial Condition and Results of Operations</w:t>
      </w:r>
    </w:p>
    <w:p>
      <w:pPr>
        <w:spacing w:after="0" w:line="19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following discussion should be read in conjunction with the Company’s Consolidated Financial Statements contained in Item 8 of this report. Except for the historical information contained herein, the matters discussed in this report are forward-looking statements within the meaning of Section 21E of the Securities Exchange Act of 1934. These forward-looking statements involve certain risks and uncertainties that could cause actual results to differ materially from those in the forward-looking statements. Potential risks and uncertainties include, without limitation, those mentioned in this report and, in particular, the factors described in Item 1A. “Risk Factors”. Please see “Note About Forward Looking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4"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Landec Corporation and its subsidiaries (“Landec”, the “Company”, “we” or “us”) design, develop, manufacture, and sell differentiated products for food and biomaterials markets, and license technology applications to partners. Landec has three reportable business segments – Lifecore, Curation Foods, and Other which are described below. Landec’s biomedical company, Lifecore Biomedical®, is a fully integrated contract development and manufacturing organization ("CDMO") that offers highly differentiated capabilities in the development, fill and finish of sterile, injectable pharmaceutical products in syringes and vials. As a leading manufacturer of premium, injectable grade Hyaluronic Acid, Lifecore brings 37 years of expertise as a partner for global and emerging biopharmaceutical and biotechnology companies across multiple therapeutic categories to bring their innovations to market.</w:t>
      </w:r>
    </w:p>
    <w:p>
      <w:pPr>
        <w:spacing w:after="0" w:line="13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Landec’s natural food company, Curation Foods, Inc. (“Curation Foods”) is focused on innovating and distributing plant-based foods with 100% clean ingredients to retail, club and foodservice channels throughout North America.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7" w:name="page28"/>
    <w:bookmarkEnd w:id="27"/>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Included in the Other segment is Corporate, which includes corporate general and administrative expenses, non-Lifecore and non-Curation Food interest income, interest expense, and income tax expenses.</w:t>
      </w:r>
    </w:p>
    <w:p>
      <w:pPr>
        <w:spacing w:after="0" w:line="12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On November 14, 2022, the Company changed its name from “Landec Corporation” to “Lifecore Biomedical, Inc.” (the “Name Change”) Currently therewith, the Company also changed the name of its wholly owned subsidiary from “Lifecore Biomedical, Inc.” to “Lifecore Biomedical Operating Company, Inc.” Unless context otherwise requires, all references to “Landec Corporation” or “Landec” contained in the Annual Report refer to the Company, and all references to “Lifecore Biomedical, Inc.,” “Lifecore Biomedical,” or “Lifecore” refer to Lifecore Biomedical Operating Company, Inc. In connection with the Name Change, the Company’s common stock began trading under its new NASDAQ ticker symbol “LFCR” on November 15, 2022.</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197"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As of May 29, 2022, the Company had cash and cash equivalents of $1.6 million and outstanding borrowings of $138.2 million, net of issuance costs, and as of November 27, 2022, the Company had cash and cash equivalents of $6.8 million and outstanding borrowings of $147.0 million, net of issuance costs. The Company continues to experience unfavorable market conditions leading to lower than projected sales proceeds from the disposition of its Curation Foods businesses.</w:t>
      </w:r>
    </w:p>
    <w:p>
      <w:pPr>
        <w:spacing w:after="0" w:line="13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performed an assessment, which occurred on the date of the filing of this Form 10-K/A, to determine whether there were conditions or events that, considered in the aggregate, raised substantial doubt about the Company’s ability to continue as a going concern within one year following the date the accompanying consolidated financial statements are being re-issued (the “Amended Filing Date”).</w:t>
      </w:r>
    </w:p>
    <w:p>
      <w:pPr>
        <w:spacing w:after="0" w:line="136"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The Company’s ability to meet its liquidity needs for one year following the Amended Filing Date will largely depend on its ability to generate cash in the future. As of November 27, 2022, the Company incurred net losses of $12.5 million, and the Company’s ability to generate cash in the future is subject to general economic, financial, competitive, legislative, regulatory, and other factors that are beyond the Company’s control. Based on the Company’s financial projections as of the Amended Filing Date, the Company does not believe that it will have adequate liquidity to meet its obligations for at least one year following the Amended Filing Date.</w:t>
      </w:r>
    </w:p>
    <w:p>
      <w:pPr>
        <w:spacing w:after="0" w:line="157" w:lineRule="exact"/>
        <w:rPr>
          <w:sz w:val="20"/>
          <w:szCs w:val="20"/>
          <w:color w:val="auto"/>
        </w:rPr>
      </w:pPr>
    </w:p>
    <w:p>
      <w:pPr>
        <w:ind w:firstLine="773"/>
        <w:spacing w:after="0" w:line="294" w:lineRule="auto"/>
        <w:rPr>
          <w:sz w:val="20"/>
          <w:szCs w:val="20"/>
          <w:color w:val="auto"/>
        </w:rPr>
      </w:pPr>
      <w:r>
        <w:rPr>
          <w:rFonts w:ascii="Arial" w:cs="Arial" w:eastAsia="Arial" w:hAnsi="Arial"/>
          <w:sz w:val="15"/>
          <w:szCs w:val="15"/>
          <w:color w:val="auto"/>
        </w:rPr>
        <w:t>The Company further considered how these factors and uncertainties have and could impact its ability to meet the obligations specified in the New Credit Agreements with the Lenders (each as defined in “Part II, Item 7. Management’s Discussion and Analysis of Financial Condition and Results of Operations</w:t>
      </w:r>
    </w:p>
    <w:p>
      <w:pPr>
        <w:spacing w:after="0" w:line="1" w:lineRule="exact"/>
        <w:rPr>
          <w:sz w:val="20"/>
          <w:szCs w:val="20"/>
          <w:color w:val="auto"/>
        </w:rPr>
      </w:pPr>
    </w:p>
    <w:p>
      <w:pPr>
        <w:jc w:val="both"/>
        <w:ind w:firstLine="3"/>
        <w:spacing w:after="0" w:line="278" w:lineRule="auto"/>
        <w:tabs>
          <w:tab w:leader="none" w:pos="173"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Liquidity and Capital Resources – Debt”) for at least one year following the Amended Filing Date. As of the Amended Filing Date, the Company determined that it was not in compliance with the covenant under the New Credit Agreements requiring the timely filing of financial statements. In addition, the inclusion of a going concern explanatory paragraph in the auditor’s report issued by Ernst and Young LLP in connection with the restated audited financial statements for the year ended May 29, 2022 included in this Annual Report on Form 10-K/A also violates the covenants under the New Credit Agreements.</w:t>
      </w:r>
    </w:p>
    <w:p>
      <w:pPr>
        <w:spacing w:after="0" w:line="129" w:lineRule="exact"/>
        <w:rPr>
          <w:sz w:val="20"/>
          <w:szCs w:val="20"/>
          <w:color w:val="auto"/>
        </w:rPr>
      </w:pPr>
    </w:p>
    <w:p>
      <w:pPr>
        <w:jc w:val="both"/>
        <w:ind w:firstLine="773"/>
        <w:spacing w:after="0" w:line="292" w:lineRule="auto"/>
        <w:rPr>
          <w:sz w:val="20"/>
          <w:szCs w:val="20"/>
          <w:color w:val="auto"/>
        </w:rPr>
      </w:pPr>
      <w:r>
        <w:rPr>
          <w:rFonts w:ascii="Arial" w:cs="Arial" w:eastAsia="Arial" w:hAnsi="Arial"/>
          <w:sz w:val="15"/>
          <w:szCs w:val="15"/>
          <w:color w:val="auto"/>
        </w:rPr>
        <w:t>In addition, based on the Company’s current financial projections for the one-year period following the Amended Filing Date, the Company anticipates that it will not be in compliance with certain financial covenants under the New Credit Agreements during the one-year period following the Amended Filing Date, including the minimum fixed charge coverage ratio covenant for the fiscal quarters ending May 30, 2023 through November 30, 2023; the maximum leverage ratio covenant as of the fiscal quarters ending May 30, 2023 through November 30, 2023; the minimum liquidity covenant for each of the fiscal quarters ended as of February 26, 2023 through May 30, 2024; and the minimum Lifecore gross profit covenant for the fiscal quarters ending February 26, 2023 through August 30, 2023. Pursuant to the terms of the New Credit Agreements, as a result of the Company’s failure to comply with the covenants described above, the agents and the lenders under the New Credit Agreements are entitled to immediately cancel all unfunded commitments and to accelerate the maturity of all of the outstanding debt thereunder, at which time all such outstanding borrowings would become immediately due and payable by the Company. In addition, as a result of such defaults, under the New Credit Agreements, the Company will be subject to increased interest rates for any outstanding borrowings thereunder prior to repayment and, even if the agent and the lenders under the Refinance Revolver (as defined in “Part II, Item 7. Management’s Discussion and Analysis of Financial Condition and Results of Operations – Liquidity and Capital Resources – Debt”) do not exercise their rights to immediately accelerate all outstanding obligations, such lenders may refuse to fund additional borrowings thereunder, which the Company relies upon for short-term liquidity needs.</w:t>
      </w:r>
    </w:p>
    <w:p>
      <w:pPr>
        <w:spacing w:after="0" w:line="125" w:lineRule="exact"/>
        <w:rPr>
          <w:sz w:val="20"/>
          <w:szCs w:val="20"/>
          <w:color w:val="auto"/>
        </w:rPr>
      </w:pPr>
    </w:p>
    <w:p>
      <w:pPr>
        <w:jc w:val="both"/>
        <w:ind w:firstLine="773"/>
        <w:spacing w:after="0" w:line="279" w:lineRule="auto"/>
        <w:rPr>
          <w:sz w:val="20"/>
          <w:szCs w:val="20"/>
          <w:color w:val="auto"/>
        </w:rPr>
      </w:pPr>
      <w:r>
        <w:rPr>
          <w:rFonts w:ascii="Arial" w:cs="Arial" w:eastAsia="Arial" w:hAnsi="Arial"/>
          <w:sz w:val="16"/>
          <w:szCs w:val="16"/>
          <w:color w:val="auto"/>
        </w:rPr>
        <w:t>Although the Company is currently in default, as of the Amended Filing Date, the agents and the Lenders have not taken any action to accelerate the maturity of the debt under the New Credit Agreements, nor have the Lenders under the Refinance Revolver indicated that they intend to prevent the Company from incurring additional borrowings thereunder. In such an event, however, the Company does not currently have sufficient liquidity to fund payment of the amounts that would be due under the New Credit Agreements nor does management have projected future cash flows to repay these outstanding borrowings under the New Credit Agreements if such amounts were to become payable. The Company’s inability to raise additional capital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8" w:name="page29"/>
    <w:bookmarkEnd w:id="28"/>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acceptable terms in the near future, whether for purposes of funding payments required under the New Credit Agreements or providing additional liquidity needed for its operations, could have a material adverse effect on its business, results of operations, liquidity and financial condition.</w:t>
      </w:r>
    </w:p>
    <w:p>
      <w:pPr>
        <w:spacing w:after="0" w:line="126" w:lineRule="exact"/>
        <w:rPr>
          <w:sz w:val="20"/>
          <w:szCs w:val="20"/>
          <w:color w:val="auto"/>
        </w:rPr>
      </w:pPr>
    </w:p>
    <w:p>
      <w:pPr>
        <w:jc w:val="both"/>
        <w:ind w:firstLine="773"/>
        <w:spacing w:after="0" w:line="258" w:lineRule="auto"/>
        <w:rPr>
          <w:sz w:val="20"/>
          <w:szCs w:val="20"/>
          <w:color w:val="auto"/>
        </w:rPr>
      </w:pPr>
      <w:r>
        <w:rPr>
          <w:rFonts w:ascii="Arial" w:cs="Arial" w:eastAsia="Arial" w:hAnsi="Arial"/>
          <w:sz w:val="17"/>
          <w:szCs w:val="17"/>
          <w:color w:val="auto"/>
        </w:rPr>
        <w:t>In response to these conditions, the Company is currently in negotiations with the Lenders to seek a forbearance and amendment agreement to remedy the Company’s current and anticipated noncompliance with its covenants under the New Credit Agreements. The Company also intends to conduct a review of its strategic alternatives, which may involve seeking additional or alternative financing or the sale of all or a portion the Company. These processes are ongoing, however, and there can be no assurances that they will result in the completion of any such amendment, transaction or other alternative that would alleviate such conditions under the New Credit Agreements or the circumstances that give rise to substantial doubt about the Company’s ability to continue as a going concern for the twelve-month period following the Amended Filing Date.</w:t>
      </w:r>
    </w:p>
    <w:p>
      <w:pPr>
        <w:spacing w:after="0" w:line="144" w:lineRule="exact"/>
        <w:rPr>
          <w:sz w:val="20"/>
          <w:szCs w:val="20"/>
          <w:color w:val="auto"/>
        </w:rPr>
      </w:pPr>
    </w:p>
    <w:p>
      <w:pPr>
        <w:jc w:val="both"/>
        <w:ind w:firstLine="773"/>
        <w:spacing w:after="0" w:line="259" w:lineRule="auto"/>
        <w:rPr>
          <w:sz w:val="20"/>
          <w:szCs w:val="20"/>
          <w:color w:val="auto"/>
        </w:rPr>
      </w:pPr>
      <w:r>
        <w:rPr>
          <w:rFonts w:ascii="Arial" w:cs="Arial" w:eastAsia="Arial" w:hAnsi="Arial"/>
          <w:sz w:val="17"/>
          <w:szCs w:val="17"/>
          <w:color w:val="auto"/>
        </w:rPr>
        <w:t>Accordingly, the Company determined that it cannot be certain that the Company’s plans and initiatives would be effectively implemented within one year after the Amended Filing Date. Without giving effect to the Company’s plans and initiatives, it is unlikely that the Company will be able to generate sufficient cash flows to meet its required financial obligations, including its debt service and other obligations due to third parties within one year after the Amended Filing Date. The existence of these conditions and events raise substantial doubt about the Company’s ability to continue as a going concern for the twelve-month period following the Amended Filing Date.</w:t>
      </w:r>
    </w:p>
    <w:p>
      <w:pPr>
        <w:spacing w:after="0" w:line="157" w:lineRule="exact"/>
        <w:rPr>
          <w:sz w:val="20"/>
          <w:szCs w:val="20"/>
          <w:color w:val="auto"/>
        </w:rPr>
      </w:pPr>
    </w:p>
    <w:p>
      <w:pPr>
        <w:jc w:val="both"/>
        <w:ind w:firstLine="773"/>
        <w:spacing w:after="0" w:line="283" w:lineRule="auto"/>
        <w:rPr>
          <w:sz w:val="20"/>
          <w:szCs w:val="20"/>
          <w:color w:val="auto"/>
        </w:rPr>
      </w:pPr>
      <w:r>
        <w:rPr>
          <w:rFonts w:ascii="Arial" w:cs="Arial" w:eastAsia="Arial" w:hAnsi="Arial"/>
          <w:sz w:val="16"/>
          <w:szCs w:val="16"/>
          <w:color w:val="auto"/>
        </w:rPr>
        <w:t>These audited consolidated financial statements have been prepared assuming the Company will continue as a going concern, which contemplates continuity of operations, realization of assets and the satisfaction of liabilities in the normal course of business for one year following the Amended Filing Date. As such, the accompanying audited consolidated financial statements do not include any adjustments relating to the recoverability and classification of assets and their carrying amounts, or the amount and classification of liabilities that may result should the Company be unable to continue as a going concern.</w:t>
      </w:r>
    </w:p>
    <w:p>
      <w:pPr>
        <w:spacing w:after="0" w:line="12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a result, all outstanding borrowings under the New Credit Agreements are classified as short term on the Consolidated Balance Sheet as of May 29, 2022 contained in these audited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Strategy</w:t>
      </w:r>
    </w:p>
    <w:p>
      <w:pPr>
        <w:spacing w:after="0" w:line="19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Company’s strategy is to maximize the value of our business portfolio by investing in growth to drive momentum at Lifecore while driving profitable growth across the organization with consumer insights driven innovation. Each of our business segments are in different life stages and have clear strategic priorities.</w:t>
      </w:r>
    </w:p>
    <w:p>
      <w:pPr>
        <w:spacing w:after="0" w:line="136"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On August 10, 2022, Landec formally announced that we will become a CDMO-focused life sciences company with a planned corporate rebranding including renaming the Company to Lifecore Biomedical and exploring potential sales opportunities of the Company’s remaining Curation Foods assets.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Lifecore</w:t>
      </w:r>
    </w:p>
    <w:p>
      <w:pPr>
        <w:spacing w:after="0" w:line="19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Lifecore is the Company’s FDA-approved CDMO business, which is focused on driving profitable growth with product development and manufacturing of sterile injectable products. Lifecore seeks to expand its presence in the CDMO marketplace by partnering with biopharmaceutical and biotechnology companies to bring their unique therapies to market. Lifecore’s goal of continuing success will be to execute on its three strategic priorities:</w:t>
      </w:r>
    </w:p>
    <w:p>
      <w:pPr>
        <w:spacing w:after="0" w:line="119" w:lineRule="exact"/>
        <w:rPr>
          <w:sz w:val="20"/>
          <w:szCs w:val="20"/>
          <w:color w:val="auto"/>
        </w:rPr>
      </w:pPr>
    </w:p>
    <w:p>
      <w:pPr>
        <w:jc w:val="both"/>
        <w:ind w:left="620" w:firstLine="2"/>
        <w:spacing w:after="0" w:line="266" w:lineRule="auto"/>
        <w:tabs>
          <w:tab w:leader="none" w:pos="841"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Managing Business Development Pipeline</w:t>
      </w:r>
      <w:r>
        <w:rPr>
          <w:rFonts w:ascii="Arial" w:cs="Arial" w:eastAsia="Arial" w:hAnsi="Arial"/>
          <w:sz w:val="17"/>
          <w:szCs w:val="17"/>
          <w:color w:val="auto"/>
        </w:rPr>
        <w:t>: Accelerate product development activities for small and large biopharmaceutical and biotechnology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in various stages of the product lifecycle, spanning clinical development stage to commercialization, which aligns with the business’ overall product development strategy.</w:t>
      </w:r>
    </w:p>
    <w:p>
      <w:pPr>
        <w:spacing w:after="0" w:line="136" w:lineRule="exact"/>
        <w:rPr>
          <w:rFonts w:ascii="Arial" w:cs="Arial" w:eastAsia="Arial" w:hAnsi="Arial"/>
          <w:sz w:val="17"/>
          <w:szCs w:val="17"/>
          <w:i w:val="1"/>
          <w:iCs w:val="1"/>
          <w:color w:val="auto"/>
        </w:rPr>
      </w:pPr>
    </w:p>
    <w:p>
      <w:pPr>
        <w:ind w:left="620" w:firstLine="2"/>
        <w:spacing w:after="0" w:line="279" w:lineRule="auto"/>
        <w:tabs>
          <w:tab w:leader="none" w:pos="828"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Maximizing Capacity: </w:t>
      </w:r>
      <w:r>
        <w:rPr>
          <w:rFonts w:ascii="Arial" w:cs="Arial" w:eastAsia="Arial" w:hAnsi="Arial"/>
          <w:sz w:val="17"/>
          <w:szCs w:val="17"/>
          <w:color w:val="auto"/>
        </w:rPr>
        <w:t>Meet customer demand by maximizing capacity in the syringe and vial multi-purpose filler production line to significantly</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the number of products produced.</w:t>
      </w:r>
    </w:p>
    <w:p>
      <w:pPr>
        <w:spacing w:after="0" w:line="138" w:lineRule="exact"/>
        <w:rPr>
          <w:rFonts w:ascii="Arial" w:cs="Arial" w:eastAsia="Arial" w:hAnsi="Arial"/>
          <w:sz w:val="17"/>
          <w:szCs w:val="17"/>
          <w:i w:val="1"/>
          <w:iCs w:val="1"/>
          <w:color w:val="auto"/>
        </w:rPr>
      </w:pPr>
    </w:p>
    <w:p>
      <w:pPr>
        <w:ind w:left="620" w:firstLine="2"/>
        <w:spacing w:after="0" w:line="279" w:lineRule="auto"/>
        <w:tabs>
          <w:tab w:leader="none" w:pos="84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Advancing Product Commercialization: </w:t>
      </w:r>
      <w:r>
        <w:rPr>
          <w:rFonts w:ascii="Arial" w:cs="Arial" w:eastAsia="Arial" w:hAnsi="Arial"/>
          <w:sz w:val="17"/>
          <w:szCs w:val="17"/>
          <w:color w:val="auto"/>
        </w:rPr>
        <w:t>Continue to seek out opportunities to advance customers’ late-stage product development activities by</w:t>
      </w:r>
      <w:r>
        <w:rPr>
          <w:rFonts w:ascii="Arial" w:cs="Arial" w:eastAsia="Arial" w:hAnsi="Arial"/>
          <w:sz w:val="17"/>
          <w:szCs w:val="17"/>
          <w:i w:val="1"/>
          <w:iCs w:val="1"/>
          <w:color w:val="auto"/>
        </w:rPr>
        <w:t xml:space="preserve"> </w:t>
      </w:r>
      <w:r>
        <w:rPr>
          <w:rFonts w:ascii="Arial" w:cs="Arial" w:eastAsia="Arial" w:hAnsi="Arial"/>
          <w:sz w:val="17"/>
          <w:szCs w:val="17"/>
          <w:color w:val="auto"/>
        </w:rPr>
        <w:t>supporting their clinical programs and commercial process scale-up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Curation Foods</w:t>
      </w:r>
    </w:p>
    <w:p>
      <w:pPr>
        <w:spacing w:after="0" w:line="17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Curation Foods, the Company’s natural food business, is focused on transforming its business to improve operational performance. The Company launched Project SWIFT which aims to strengthen Curation Foods by simplifying the business. The Company believes that the decisive actions of Project SWIFT will help improve the Company’s operating cost structure, enhance profitability, and strengthen its balance sheet with an overall aim to deliver long-term value to shareholders. Curation Foods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9" w:name="page30"/>
    <w:bookmarkEnd w:id="29"/>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intends to continue to deliver high levels of product quality and safety, while successfully executing on its customer and partner commitments. Project SWIFT will continue to be implemented throughout fiscal 2023, with three strategic priorities designed to improve Curation Foods’ overall financial performance and profitability:</w:t>
      </w:r>
    </w:p>
    <w:p>
      <w:pPr>
        <w:spacing w:after="0" w:line="201" w:lineRule="exact"/>
        <w:rPr>
          <w:sz w:val="20"/>
          <w:szCs w:val="20"/>
          <w:color w:val="auto"/>
        </w:rPr>
      </w:pPr>
    </w:p>
    <w:p>
      <w:pPr>
        <w:jc w:val="both"/>
        <w:ind w:left="620" w:firstLine="2"/>
        <w:spacing w:after="0" w:line="253" w:lineRule="auto"/>
        <w:tabs>
          <w:tab w:leader="none" w:pos="835"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Network &amp; Operational Optimization: </w:t>
      </w:r>
      <w:r>
        <w:rPr>
          <w:rFonts w:ascii="Arial" w:cs="Arial" w:eastAsia="Arial" w:hAnsi="Arial"/>
          <w:sz w:val="17"/>
          <w:szCs w:val="17"/>
          <w:color w:val="auto"/>
        </w:rPr>
        <w:t>Streamline the organization to maximize efficiency and productivity by continuous improvement in plant</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with lean manufacturing practices. This included the consolidation and centralization of Curation Foods various offices into its Innovation Center headquarters in Santa Maria, California in fiscal 2020.</w:t>
      </w:r>
    </w:p>
    <w:p>
      <w:pPr>
        <w:spacing w:after="0" w:line="1" w:lineRule="exact"/>
        <w:rPr>
          <w:rFonts w:ascii="Arial" w:cs="Arial" w:eastAsia="Arial" w:hAnsi="Arial"/>
          <w:sz w:val="17"/>
          <w:szCs w:val="17"/>
          <w:i w:val="1"/>
          <w:iCs w:val="1"/>
          <w:color w:val="auto"/>
        </w:rPr>
      </w:pPr>
    </w:p>
    <w:p>
      <w:pPr>
        <w:ind w:left="620" w:firstLine="2"/>
        <w:spacing w:after="0" w:line="266" w:lineRule="auto"/>
        <w:tabs>
          <w:tab w:leader="none" w:pos="806" w:val="left"/>
        </w:tabs>
        <w:numPr>
          <w:ilvl w:val="0"/>
          <w:numId w:val="18"/>
        </w:numPr>
        <w:rPr>
          <w:rFonts w:ascii="Arial" w:cs="Arial" w:eastAsia="Arial" w:hAnsi="Arial"/>
          <w:sz w:val="15"/>
          <w:szCs w:val="15"/>
          <w:i w:val="1"/>
          <w:iCs w:val="1"/>
          <w:color w:val="auto"/>
        </w:rPr>
      </w:pPr>
      <w:r>
        <w:rPr>
          <w:rFonts w:ascii="Arial" w:cs="Arial" w:eastAsia="Arial" w:hAnsi="Arial"/>
          <w:sz w:val="15"/>
          <w:szCs w:val="15"/>
          <w:i w:val="1"/>
          <w:iCs w:val="1"/>
          <w:color w:val="auto"/>
        </w:rPr>
        <w:t>Focus on Strategic Assets</w:t>
      </w:r>
      <w:r>
        <w:rPr>
          <w:rFonts w:ascii="Arial" w:cs="Arial" w:eastAsia="Arial" w:hAnsi="Arial"/>
          <w:sz w:val="15"/>
          <w:szCs w:val="15"/>
          <w:color w:val="auto"/>
        </w:rPr>
        <w:t>: Simplify the business by divesting non-core assets. In the first quarter of fiscal year 2021, the Company sold its interest in</w:t>
      </w:r>
      <w:r>
        <w:rPr>
          <w:rFonts w:ascii="Arial" w:cs="Arial" w:eastAsia="Arial" w:hAnsi="Arial"/>
          <w:sz w:val="15"/>
          <w:szCs w:val="15"/>
          <w:i w:val="1"/>
          <w:iCs w:val="1"/>
          <w:color w:val="auto"/>
        </w:rPr>
        <w:t xml:space="preserve"> </w:t>
      </w:r>
      <w:r>
        <w:rPr>
          <w:rFonts w:ascii="Arial" w:cs="Arial" w:eastAsia="Arial" w:hAnsi="Arial"/>
          <w:sz w:val="15"/>
          <w:szCs w:val="15"/>
          <w:color w:val="auto"/>
        </w:rPr>
        <w:t>the Ontario, California salad dressing manufacturing facility for net proceeds of $4.9 million. During the second quarter of fiscal year 2021, the Company sold the underutilized Hanover manufacturing facility building and assets related thereto for net proceeds of $8.0 million. In the third quarter of fiscal year 2022, the Company sold Curation Foods’ Eat Smart business, including its salad and cut vegetable businesses for a purchase price of $73.5 million in cash, subject to post-closing adjustments based upon net working capital at the Closing Date. Subsequent to the end of fiscal year 2022, on June 2, 2022, the Company and Curation Foods entered into and closed an Asset Purchase Agreement with Hazel Technologies, Inc. (the “Purchaser”), pursuant to which Curation Foods sold all of its assets related to BreatheWay packaging technology business to the Purchasers in exchange for an aggregate purchase price of $3.2 million. Subsequent to the fiscal year ended May 29, 2022, on February 7, 2023, the Company sold its Yucatan Foods business for</w:t>
      </w:r>
    </w:p>
    <w:p>
      <w:pPr>
        <w:spacing w:after="0" w:line="4" w:lineRule="exact"/>
        <w:rPr>
          <w:rFonts w:ascii="Arial" w:cs="Arial" w:eastAsia="Arial" w:hAnsi="Arial"/>
          <w:sz w:val="15"/>
          <w:szCs w:val="15"/>
          <w:i w:val="1"/>
          <w:iCs w:val="1"/>
          <w:color w:val="auto"/>
        </w:rPr>
      </w:pPr>
    </w:p>
    <w:p>
      <w:pPr>
        <w:ind w:left="620"/>
        <w:spacing w:after="0"/>
        <w:rPr>
          <w:rFonts w:ascii="Arial" w:cs="Arial" w:eastAsia="Arial" w:hAnsi="Arial"/>
          <w:sz w:val="15"/>
          <w:szCs w:val="15"/>
          <w:i w:val="1"/>
          <w:iCs w:val="1"/>
          <w:color w:val="auto"/>
        </w:rPr>
      </w:pPr>
      <w:r>
        <w:rPr>
          <w:rFonts w:ascii="Arial" w:cs="Arial" w:eastAsia="Arial" w:hAnsi="Arial"/>
          <w:sz w:val="15"/>
          <w:szCs w:val="15"/>
          <w:color w:val="auto"/>
        </w:rPr>
        <w:t>$17.5 million in cash and expects to recognize a loss on the sale in its third quarter ended February 26, 2023 of approximately $15 million to $17 million.</w:t>
      </w:r>
    </w:p>
    <w:p>
      <w:pPr>
        <w:spacing w:after="0" w:line="187" w:lineRule="exact"/>
        <w:rPr>
          <w:rFonts w:ascii="Arial" w:cs="Arial" w:eastAsia="Arial" w:hAnsi="Arial"/>
          <w:sz w:val="15"/>
          <w:szCs w:val="15"/>
          <w:i w:val="1"/>
          <w:iCs w:val="1"/>
          <w:color w:val="auto"/>
        </w:rPr>
      </w:pPr>
    </w:p>
    <w:p>
      <w:pPr>
        <w:jc w:val="both"/>
        <w:ind w:left="620" w:firstLine="2"/>
        <w:spacing w:after="0" w:line="266" w:lineRule="auto"/>
        <w:tabs>
          <w:tab w:leader="none" w:pos="819"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Organizational Redesign: </w:t>
      </w:r>
      <w:r>
        <w:rPr>
          <w:rFonts w:ascii="Arial" w:cs="Arial" w:eastAsia="Arial" w:hAnsi="Arial"/>
          <w:sz w:val="17"/>
          <w:szCs w:val="17"/>
          <w:color w:val="auto"/>
        </w:rPr>
        <w:t>Redesigning the organization so that it is the appropriate size for the Company’s future direction. In fiscal 2021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2022, the Company focused on redesigning strategic initiatives, developed and elevated internal talent and reduced overall headcount to improve efficiencies.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COVID-19 Pandemic</w:t>
      </w:r>
    </w:p>
    <w:p>
      <w:pPr>
        <w:spacing w:after="0" w:line="17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There are many uncertainties regarding the COVID-19 pandemic, including the scope of scientific and health issues, the anticipated duration of the pandemic, and the extent of local and worldwide social, political, and economic disruption it may cause. The COVID-19 pandemic has had and we believe will continue to have significant adverse impacts on many aspects of the Company’s operations, directly and indirectly, including with respect to sales, customer behaviors, business and manufacturing operations, inventory, the Company’s employees, and the market generally, and the scope and nature of these impacts continue to evolve each day. The Company expects to continue to assess the evolving impact of the COVID-19 pandemic, and intends to continue to make adjustments to its responses accordingly.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Restatement of Previously Issued Financial Statements</w:t>
      </w:r>
    </w:p>
    <w:p>
      <w:pPr>
        <w:spacing w:after="0" w:line="18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This “Management's Discussion and Analysis of Financial Condition and Results of Operations” has been amended and restated to give effect to the Restatement, as more fully described in Note 1 - Correction of Error in Previously Reported Fiscal Year 2022 Annual Financial Statements to our accompanying audited consolidated financial statements contained elsewhere in this Annual Report on Form 10-K/A. For further detail regarding the Restatement, see “Explanatory Note” and Part II, Item 9A, “Controls and Procedures” contained in this Annual Report on Form 10-K/A.</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w:t>
      </w:r>
    </w:p>
    <w:p>
      <w:pPr>
        <w:spacing w:after="0" w:line="17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certain estimates and judgments that affect the amounts reported in the financial statements and accompanying notes to the Consolidated Financial Statements. The accounting estimates that require management’s most significant and subjective judgments include revenue recognition; loss contingencies, sales returns and credit losses; recognition and measurement of current and deferred income tax assets and liabilities; the assessment of recoverability of long-lived assets (including intangible assets and goodwill) and inventory; the valuation and recognition of stock-based compensation.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0" w:name="page31"/>
    <w:bookmarkEnd w:id="30"/>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These estimates involve the consideration of complex factors and require management to make judgments. The analysis of historical and future trends can require extended periods of time to resolve, and are subject to change from period to period. The actual results may differ from management’s estimates. Our accounting policies are more fully described in Note 1 – Organization, Basis of Presentation, and Summary of Significant Accounting Policies to our consolidated financial statements. Management has discussed the development and selection of these critical accounting policies and estimates with our Board of Directors.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178" w:lineRule="exact"/>
        <w:rPr>
          <w:sz w:val="20"/>
          <w:szCs w:val="20"/>
          <w:color w:val="auto"/>
        </w:rPr>
      </w:pPr>
    </w:p>
    <w:p>
      <w:pPr>
        <w:jc w:val="both"/>
        <w:ind w:firstLine="773"/>
        <w:spacing w:after="0" w:line="262" w:lineRule="auto"/>
        <w:rPr>
          <w:sz w:val="20"/>
          <w:szCs w:val="20"/>
          <w:color w:val="auto"/>
        </w:rPr>
      </w:pPr>
      <w:r>
        <w:rPr>
          <w:rFonts w:ascii="Arial" w:cs="Arial" w:eastAsia="Arial" w:hAnsi="Arial"/>
          <w:sz w:val="17"/>
          <w:szCs w:val="17"/>
          <w:color w:val="auto"/>
        </w:rPr>
        <w:t>The Company follows the five step, principles-based model to recognize revenue upon the transfer of promised goods or services to customers and in an amount that reflects the consideration for which the Company expects to be entitled in exchange for those goods or services. Revenue, net of estimated allowances and returns, is recognized when or as the Company satisfies its performance obligations under a contract and control of the product is transferred to the customer.</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Lifecore</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Lifecore generates revenue from two integrated activities: CDMO and Fermentation. CDMO is comprised of aseptic and development services. Lifecore’s standard terms of sale are generally included in its contracts and purchase orders. Shipping and other transportation costs charged to customers are recorded in both revenue and cost of goods sold. Lifecore has elected to account for shipping and handling as fulfillment activities, and not as a separate performance obligation. Lifecore’s standard payment terms with its customers generally range from 30 days to 60 days.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Aseptic</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Lifecore provides aseptic formulation and filling of syringes and vials with precisely formulated medical grade HA and non-HA materials for injectable products used for medical purposes. In instances where our customers contract with us to aseptically fill syringes or vials with our HA, the goods are not distinct in the context of the contract. Lifecore recognizes revenue for these products at the point in time when legal title to the product is transferred to the customer, which is at the time that shipment is made or upon delivery of the product.</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Development Services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Lifecore provides product development services to assist its customers in obtaining regulatory approval for the commercial sale of their drug product. These services include activities such as technology development, material component changes, analytical method development, formulation development, pilot studies, stability studies, process validation and production of materials for use within clinical studies. The Company’s customers benefit from the expertise of its scientists who have extensive experience performing such tasks.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Each of the promised goods and services are not distinct in the context of the contract as the goods and services are highly interdependent and interrelated. The services described above are significantly affected by each other because Lifecore would not be able to fulfill its promise by transferring each of the goods or services independently.</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Revenues generated from development services arrangements are recognized over time as Lifecore is creating an asset without an alternate use as it is unique to the customer. Furthermore, the Company has an enforceable right to payment for the performance completed to date for its costs incurred in satisfying the performance obligation plus a reasonable profit margin. For each of the development activities performed by Lifecore as described above, labor is the primary input (i.e., labor costs represent the majority of the costs incurred in the completion of the services). The Company determined that labor hours are the best measure of progress as it most accurately depicts the effort extended to satisfy the performance obligation over time.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Fermentation</w:t>
      </w:r>
    </w:p>
    <w:p>
      <w:pPr>
        <w:spacing w:after="0" w:line="243"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Lifecore manufactures and sells pharmaceutical-grade sodium hyaluronate (“HA”) in bulk form to its customers. The HA produced is distinct as customers are able to utilize the product provided under HA supply contracts when they obtain control. Lifecore recognizes revenue for these products at the point in time when legal title to the product is transferred to the customer, which is at the time that shipment is made or upon delivery of the product to our customer.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Curation Foods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1" w:name="page32"/>
    <w:bookmarkEnd w:id="31"/>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Curation Foods’ standard terms of sale, both prior to and following the Eat Smart Disposition, are generally included in its contracts and purchase orders. Revenue is recognized at the time shipment is made or upon delivery as control of the product is transferred to the customer. Shipping and other transportation costs charged to customers are recorded in both revenue and cost of goods sold. Curation Foods has elected to account for shipping and handling as fulfillment activities, and not as a separate performance obligation. Curation Foods’ standard payment terms with its customers generally range from 30 days to 90 days. Certain customers may receive cash-based incentives (including: volume rebates, discounts, and promotions), which are accounted for as variable consideration to Curation Foods’ performance obligations. Curation Foods estimates these sales incentives based on the expected amount to be provided to its customers and reduces revenues recognized towards its performance obligations. The Company has not historically had and does not anticipate significant changes in its estimates for variable consideration.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Review of Goodwill and Indefinite-Lived Intangible Asset</w:t>
      </w:r>
    </w:p>
    <w:p>
      <w:pPr>
        <w:spacing w:after="0" w:line="19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tests its goodwill and trademarks with indefinite lives annually for impairment in the fiscal fourth quarter or earlier if there are indications during a different interim period that these assets may have become impaired.</w:t>
      </w:r>
    </w:p>
    <w:p>
      <w:pPr>
        <w:spacing w:after="0" w:line="126"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On a quarterly basis, the Company considers the need to update its most recent annual tests for possible impairment of its indefinite-lived intangible assets and goodwill, based on management’s assessment of changes in its business and other economic factors since the most recent annual evaluation. Such changes, if significant or material, could indicate a need to update the most recent annual tests for impairment of the indefinite-lived intangible assets during the current period. The results of these tests could lead to write-downs of the carrying values of these assets in the current period.</w:t>
      </w:r>
    </w:p>
    <w:p>
      <w:pPr>
        <w:spacing w:after="0" w:line="125"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With respect to goodwill, the Company has the option to first assess qualitative factors such as macro-economic conditions, industry and market environment, cost factors, overall financial performance of the Company, cash flow from operating activities, market capitalization, litigation, and stock price. If the result of a qualitative test indicates a potential for impairment of a reporting unit, a quantitative test is performed. The quantitative test compares the carrying amount of a reporting unit that includes goodwill to its fair value. The Company determines the fair value using an income approach. Under the income approach, fair value is determined based on estimated future cash flows, discounted by an estimated weighted-average cost of capital, which reflects the overall level of inherent risk of the Company and the rate of return an outside investor could expect to earn. A goodwill impairment loss is recognized for the amount that the carrying amount of a reporting unit, including goodwill, exceeds its fair value, limited to the total amount of goodwill allocated to that reporting unit.</w:t>
      </w:r>
    </w:p>
    <w:p>
      <w:pPr>
        <w:spacing w:after="0" w:line="13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To determine the fair value of a reporting unit as part of its quantitative test, the Company uses a discounted cash flow ("DCF") method under the income approach, as it believes that this approach is the most reliable indicator of the fair value of its businesses and the fair value of their future earnings and cash flows. Under this approach, which requires significant judgments, the Company estimates the future cash flows of each reporting unit and discounts these cash flows at a rate of return that reflects their relative risk. The cash flows used in the DCF method are consistent with those the Company uses in its internal planning, which gives consideration to actual business trends experienced, and the broader business strategy for the long term. The other key estimates and factors used in the DCF method include, but are not limited to, future volumes, net sales and expense growth rates, gross margin and gross margin growth rates, and the discount rate applied. Changes in such estimates or the application of alternative assumptions could produce different results.</w:t>
      </w:r>
    </w:p>
    <w:p>
      <w:pPr>
        <w:spacing w:after="0" w:line="13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For trademarks and other intangible assets with indefinite lives, the Company has the option to first assess qualitative factors such as macro-economic conditions, industry and market environment, cost factors, overall financial performance of the Company, litigation, and changes in the business in its annual, qualitative analysis to test for impairment. If the results of a qualitative test indicate a potential for impairment of an intangible asset with an indefinite life, a quantitative test is performed. The quantitative test compares the estimated fair value of an asset to its carrying amount. If the carrying amount of such asset exceeds its estimated fair value, an impairment charge is recorded for the difference between the carrying amount and the estimated fair value. The Company uses the income approach to estimate the fair value of its trademarks. This approach requires significant judgments in determining the royalty rates and the assets’ estimated cash flows as well as the appropriate discount rates applied to those cash flows to determine fair value. Changes in such estimates or the use of alternative assumptions could produce different results.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2" w:name="page33"/>
    <w:bookmarkEnd w:id="32"/>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 xml:space="preserve">During fiscal year 2020, the Company recorded an impairment charge of $1.1 million and $3.5 million related to its </w:t>
      </w:r>
      <w:r>
        <w:rPr>
          <w:rFonts w:ascii="Arial" w:cs="Arial" w:eastAsia="Arial" w:hAnsi="Arial"/>
          <w:sz w:val="17"/>
          <w:szCs w:val="17"/>
          <w:i w:val="1"/>
          <w:iCs w:val="1"/>
          <w:color w:val="auto"/>
        </w:rPr>
        <w:t>O</w:t>
      </w:r>
      <w:r>
        <w:rPr>
          <w:rFonts w:ascii="Arial" w:cs="Arial" w:eastAsia="Arial" w:hAnsi="Arial"/>
          <w:sz w:val="17"/>
          <w:szCs w:val="17"/>
          <w:color w:val="auto"/>
        </w:rPr>
        <w:t xml:space="preserve"> and Yucatan Foods trademarks, respectively. The Company also recorded an impairment charge of $5.2 million and $2.7 million related to its </w:t>
      </w:r>
      <w:r>
        <w:rPr>
          <w:rFonts w:ascii="Arial" w:cs="Arial" w:eastAsia="Arial" w:hAnsi="Arial"/>
          <w:sz w:val="17"/>
          <w:szCs w:val="17"/>
          <w:i w:val="1"/>
          <w:iCs w:val="1"/>
          <w:color w:val="auto"/>
        </w:rPr>
        <w:t>O</w:t>
      </w:r>
      <w:r>
        <w:rPr>
          <w:rFonts w:ascii="Arial" w:cs="Arial" w:eastAsia="Arial" w:hAnsi="Arial"/>
          <w:sz w:val="17"/>
          <w:szCs w:val="17"/>
          <w:color w:val="auto"/>
        </w:rPr>
        <w:t xml:space="preserve"> and Yucatan Foods goodwill, respectively. The </w:t>
      </w:r>
      <w:r>
        <w:rPr>
          <w:rFonts w:ascii="Arial" w:cs="Arial" w:eastAsia="Arial" w:hAnsi="Arial"/>
          <w:sz w:val="17"/>
          <w:szCs w:val="17"/>
          <w:i w:val="1"/>
          <w:iCs w:val="1"/>
          <w:color w:val="auto"/>
        </w:rPr>
        <w:t>O</w:t>
      </w:r>
      <w:r>
        <w:rPr>
          <w:rFonts w:ascii="Arial" w:cs="Arial" w:eastAsia="Arial" w:hAnsi="Arial"/>
          <w:sz w:val="17"/>
          <w:szCs w:val="17"/>
          <w:color w:val="auto"/>
        </w:rPr>
        <w:t xml:space="preserve"> impairment charges were primarily a result of the recently updated (lowered) financial outlook for the </w:t>
      </w:r>
      <w:r>
        <w:rPr>
          <w:rFonts w:ascii="Arial" w:cs="Arial" w:eastAsia="Arial" w:hAnsi="Arial"/>
          <w:sz w:val="17"/>
          <w:szCs w:val="17"/>
          <w:i w:val="1"/>
          <w:iCs w:val="1"/>
          <w:color w:val="auto"/>
        </w:rPr>
        <w:t>O</w:t>
      </w:r>
      <w:r>
        <w:rPr>
          <w:rFonts w:ascii="Arial" w:cs="Arial" w:eastAsia="Arial" w:hAnsi="Arial"/>
          <w:sz w:val="17"/>
          <w:szCs w:val="17"/>
          <w:color w:val="auto"/>
        </w:rPr>
        <w:t xml:space="preserve"> reporting unit, related to a recent shift in strategic focus within the Curation Foods business segment. The Yucatan Foods impairment charges were primarily a result of an increase in the Yucatan Foods carrying value and an increase in the discount rate, as a result of uncertainty in forecasting the effects of COVID-19 and general economic uncertainties. These impairment charges are included in the line item “impairment of goodwill and long-lived and indefinite-lived assets” on the Consolidated Statements of Operations, and both are in the Curation Foods business segment.</w:t>
      </w:r>
    </w:p>
    <w:p>
      <w:pPr>
        <w:spacing w:after="0" w:line="146"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As discussed in Note 1 - Correction of Error in Previously Reported Fiscal Year 2022 Annual Financial Statements to the consolidated financial statements in this Annual Report on Form 10-K/A, during fiscal year 2022, the Company recorded impairment charges of $32.1 million and $20.0 million related to its Eat Smart business and Yucatan Foods goodwill, respectively. The Company also recorded an impairment charge of $8.4 million and $5.8 million, as restated, related to its Yucatan Foods trademarks and customer relationships, respectively. These impairment charges were primarily a result of an indication of a decrease in the fair market values of our Eat Smart and Yucatan Foods businesses driven by lower market valuations and a decrease in projected cash flows. The goodwill impairment charge related to the Eat Smart business goodwill is included in “loss from discontinued operations” within the Consolidated Statements of Operations. The Yucatan Foods related impairment charges are included in the line item “impairment of goodwill and long-lived and indefinite-lived assets” on the Consolidated Statements of Operations and are in the Curation Foods business segment.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78"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The Company accounts for income taxes in accordance with accounting guidance which requires that deferred tax assets and liabilities be recognized using enacted tax rates for the effect of temporary differences between the book and tax basis of recorded assets and liabilities. The Company maintains valuation allowances when it is likely that all or a portion of a deferred tax asset will not be realized. Changes in valuation allowances from period to period are included in the Company’s income tax provision in the period of change. In determining whether a valuation allowance is warranted, the Company takes into account such factors as prior earnings history, expected future earnings, unsettled circumstances that, if unfavorably resolved, would adversely affect utilization of a deferred tax asset, carryback and carryforward periods and tax strategies that could potentially enhance the likelihood of realization of a deferred tax asset.</w:t>
      </w:r>
    </w:p>
    <w:p>
      <w:pPr>
        <w:spacing w:after="0" w:line="12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to valuation allowances, the Company establishes accruals for uncertain tax positions. The tax-contingency accruals are adjusted in light of changing facts and circumstances, such as the progress of tax audits, case law and emerging legislation. The Company recognizes interest and penalties related to uncertain tax positions as a component of income tax expense. The Company’s effective tax rate includes the impact of tax-contingency accruals as considered appropriate by management.</w:t>
      </w:r>
    </w:p>
    <w:p>
      <w:pPr>
        <w:spacing w:after="0" w:line="13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 number of years may elapse before a particular matter, for which the Company has accrued, is audited and finally resolved. The number of years with open tax audits varies by jurisdiction. While it is often difficult to predict the final outcome or the timing of resolution of any particular tax matter, the Company believes its tax-contingency accruals are adequate to address known tax contingencies. Favorable resolution of such matters could be recognized as a reduction to the Company’s effective tax rate in the year of resolution. Unfavorable settlement of any particular issue could increase the Company's effective tax rate in the year of resolution. Any resolution of a tax issue may require the use of cash in the year of resolution. The Company’s tax-contingency accruals are recorded in Other accrued liabilities in the accompanying Consolidated Balance Sheets.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97"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Lifecore generates revenues from the development and manufacture of pharmaceutical-grade sodium hyaluronate (“HA”) products and providing contract development and aseptic manufacturing services to customers. Lifecore generates revenues from two integrated activities: (1) CDMO and (2) fermentation.</w:t>
      </w:r>
    </w:p>
    <w:p>
      <w:pPr>
        <w:spacing w:after="0" w:line="78"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 xml:space="preserve">Curation Foods revenues for the periods presented consist of revenues generated from sales of (1) Yucatan, Cabo Fresh, and private label branded guacamole and avocado products, (2) </w:t>
      </w:r>
      <w:r>
        <w:rPr>
          <w:rFonts w:ascii="Arial" w:cs="Arial" w:eastAsia="Arial" w:hAnsi="Arial"/>
          <w:sz w:val="16"/>
          <w:szCs w:val="16"/>
          <w:i w:val="1"/>
          <w:iCs w:val="1"/>
          <w:color w:val="auto"/>
        </w:rPr>
        <w:t>O</w:t>
      </w:r>
      <w:r>
        <w:rPr>
          <w:rFonts w:ascii="Arial" w:cs="Arial" w:eastAsia="Arial" w:hAnsi="Arial"/>
          <w:sz w:val="16"/>
          <w:szCs w:val="16"/>
          <w:color w:val="auto"/>
        </w:rPr>
        <w:t xml:space="preserve"> olive oils and wine vinegars, and (3) BreatheWay packaging to license partners. As a result of the Eat Smart Disposition, the Company met the requirements of ASC 205-20, to report the results of the Eat Smart business as a discontinued operation. Accordingly, the operating results for the Eat Smart business have therefore been reclassified as a discontinued operations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122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9"/>
              </w:rPr>
              <w:t>Table of Contents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93"/>
        </w:trPr>
        <w:tc>
          <w:tcPr>
            <w:tcW w:w="1840" w:type="dxa"/>
            <w:vAlign w:val="bottom"/>
            <w:gridSpan w:val="2"/>
          </w:tcPr>
          <w:p>
            <w:pPr>
              <w:ind w:left="20"/>
              <w:spacing w:after="0"/>
              <w:rPr>
                <w:sz w:val="20"/>
                <w:szCs w:val="20"/>
                <w:color w:val="auto"/>
              </w:rPr>
            </w:pPr>
            <w:r>
              <w:rPr>
                <w:rFonts w:ascii="Arial" w:cs="Arial" w:eastAsia="Arial" w:hAnsi="Arial"/>
                <w:sz w:val="17"/>
                <w:szCs w:val="17"/>
                <w:i w:val="1"/>
                <w:iCs w:val="1"/>
                <w:color w:val="auto"/>
              </w:rPr>
              <w:t>(In thousands, except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8"/>
        </w:trPr>
        <w:tc>
          <w:tcPr>
            <w:tcW w:w="1840" w:type="dxa"/>
            <w:vAlign w:val="bottom"/>
            <w:gridSpan w:val="2"/>
          </w:tcPr>
          <w:p>
            <w:pPr>
              <w:ind w:left="20"/>
              <w:spacing w:after="0"/>
              <w:rPr>
                <w:sz w:val="20"/>
                <w:szCs w:val="20"/>
                <w:color w:val="auto"/>
              </w:rPr>
            </w:pPr>
            <w:r>
              <w:rPr>
                <w:rFonts w:ascii="Arial" w:cs="Arial" w:eastAsia="Arial" w:hAnsi="Arial"/>
                <w:sz w:val="17"/>
                <w:szCs w:val="17"/>
                <w:i w:val="1"/>
                <w:iCs w:val="1"/>
                <w:color w:val="auto"/>
              </w:rPr>
              <w:t>percentages)</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Year Ended</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680"/>
              <w:spacing w:after="0"/>
              <w:rPr>
                <w:sz w:val="20"/>
                <w:szCs w:val="20"/>
                <w:color w:val="auto"/>
              </w:rPr>
            </w:pPr>
            <w:r>
              <w:rPr>
                <w:rFonts w:ascii="Arial" w:cs="Arial" w:eastAsia="Arial" w:hAnsi="Arial"/>
                <w:sz w:val="17"/>
                <w:szCs w:val="17"/>
                <w:color w:val="auto"/>
              </w:rPr>
              <w:t>Change</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Year Ended</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680"/>
              <w:spacing w:after="0"/>
              <w:rPr>
                <w:sz w:val="20"/>
                <w:szCs w:val="20"/>
                <w:color w:val="auto"/>
              </w:rPr>
            </w:pPr>
            <w:r>
              <w:rPr>
                <w:rFonts w:ascii="Arial" w:cs="Arial" w:eastAsia="Arial" w:hAnsi="Arial"/>
                <w:sz w:val="17"/>
                <w:szCs w:val="17"/>
                <w:color w:val="auto"/>
                <w:w w:val="97"/>
              </w:rPr>
              <w:t>Change</w:t>
            </w:r>
          </w:p>
        </w:tc>
        <w:tc>
          <w:tcPr>
            <w:tcW w:w="780" w:type="dxa"/>
            <w:vAlign w:val="bottom"/>
            <w:tcBorders>
              <w:bottom w:val="single" w:sz="8" w:color="auto"/>
            </w:tcBorders>
          </w:tcPr>
          <w:p>
            <w:pPr>
              <w:spacing w:after="0"/>
              <w:rPr>
                <w:sz w:val="18"/>
                <w:szCs w:val="18"/>
                <w:color w:val="auto"/>
              </w:rPr>
            </w:pPr>
          </w:p>
        </w:tc>
      </w:tr>
      <w:tr>
        <w:trPr>
          <w:trHeight w:val="212"/>
        </w:trPr>
        <w:tc>
          <w:tcPr>
            <w:tcW w:w="6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7"/>
              </w:rPr>
              <w:t>May 29, 2022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7"/>
              </w:rPr>
              <w:t>May 30, 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Amount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color w:val="auto"/>
                <w:w w:val="92"/>
              </w:rPr>
              <w:t>%</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7"/>
              </w:rPr>
              <w:t>May 30, 2021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7"/>
              </w:rPr>
              <w:t>May 31, 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Amount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color w:val="auto"/>
                <w:w w:val="92"/>
              </w:rPr>
              <w:t>%</w:t>
            </w:r>
          </w:p>
        </w:tc>
      </w:tr>
      <w:tr>
        <w:trPr>
          <w:trHeight w:val="213"/>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Lifecore</w:t>
            </w:r>
          </w:p>
        </w:tc>
        <w:tc>
          <w:tcPr>
            <w:tcW w:w="4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214"/>
              <w:spacing w:after="0"/>
              <w:rPr>
                <w:sz w:val="20"/>
                <w:szCs w:val="20"/>
                <w:color w:val="auto"/>
              </w:rPr>
            </w:pPr>
            <w:r>
              <w:rPr>
                <w:rFonts w:ascii="Arial" w:cs="Arial" w:eastAsia="Arial" w:hAnsi="Arial"/>
                <w:sz w:val="17"/>
                <w:szCs w:val="17"/>
                <w:color w:val="auto"/>
                <w:w w:val="93"/>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194"/>
              <w:spacing w:after="0"/>
              <w:rPr>
                <w:sz w:val="20"/>
                <w:szCs w:val="20"/>
                <w:color w:val="auto"/>
              </w:rPr>
            </w:pPr>
            <w:r>
              <w:rPr>
                <w:rFonts w:ascii="Arial" w:cs="Arial" w:eastAsia="Arial" w:hAnsi="Arial"/>
                <w:sz w:val="17"/>
                <w:szCs w:val="17"/>
                <w:color w:val="auto"/>
                <w:w w:val="88"/>
              </w:rPr>
              <w:t>14%</w:t>
            </w:r>
          </w:p>
        </w:tc>
      </w:tr>
      <w:tr>
        <w:trPr>
          <w:trHeight w:val="218"/>
        </w:trPr>
        <w:tc>
          <w:tcPr>
            <w:tcW w:w="18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b w:val="1"/>
                <w:bCs w:val="1"/>
                <w:i w:val="1"/>
                <w:iCs w:val="1"/>
                <w:color w:val="auto"/>
              </w:rPr>
              <w:t>Curation Foods</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76,466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center"/>
              <w:ind w:right="214"/>
              <w:spacing w:after="0"/>
              <w:rPr>
                <w:sz w:val="20"/>
                <w:szCs w:val="20"/>
                <w:color w:val="auto"/>
              </w:rPr>
            </w:pPr>
            <w:r>
              <w:rPr>
                <w:rFonts w:ascii="Arial" w:cs="Arial" w:eastAsia="Arial" w:hAnsi="Arial"/>
                <w:sz w:val="17"/>
                <w:szCs w:val="17"/>
                <w:color w:val="auto"/>
                <w:w w:val="97"/>
              </w:rPr>
              <w:t>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center"/>
              <w:ind w:right="194"/>
              <w:spacing w:after="0"/>
              <w:rPr>
                <w:sz w:val="20"/>
                <w:szCs w:val="20"/>
                <w:color w:val="auto"/>
              </w:rPr>
            </w:pPr>
            <w:r>
              <w:rPr>
                <w:rFonts w:ascii="Arial" w:cs="Arial" w:eastAsia="Arial" w:hAnsi="Arial"/>
                <w:sz w:val="17"/>
                <w:szCs w:val="17"/>
                <w:color w:val="auto"/>
                <w:w w:val="94"/>
              </w:rPr>
              <w:t>(1)%</w:t>
            </w:r>
          </w:p>
        </w:tc>
      </w:tr>
      <w:tr>
        <w:trPr>
          <w:trHeight w:val="233"/>
        </w:trPr>
        <w:tc>
          <w:tcPr>
            <w:tcW w:w="184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i w:val="1"/>
                <w:iCs w:val="1"/>
                <w:color w:val="auto"/>
              </w:rPr>
              <w:t>Total Revenues</w:t>
            </w:r>
          </w:p>
        </w:tc>
        <w:tc>
          <w:tcPr>
            <w:tcW w:w="4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185,786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171,546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right="214"/>
              <w:spacing w:after="0"/>
              <w:rPr>
                <w:sz w:val="20"/>
                <w:szCs w:val="20"/>
                <w:color w:val="auto"/>
              </w:rPr>
            </w:pPr>
            <w:r>
              <w:rPr>
                <w:rFonts w:ascii="Arial" w:cs="Arial" w:eastAsia="Arial" w:hAnsi="Arial"/>
                <w:sz w:val="17"/>
                <w:szCs w:val="17"/>
                <w:color w:val="auto"/>
                <w:w w:val="97"/>
              </w:rPr>
              <w:t>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171,546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160,066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right="194"/>
              <w:spacing w:after="0"/>
              <w:rPr>
                <w:sz w:val="20"/>
                <w:szCs w:val="20"/>
                <w:color w:val="auto"/>
              </w:rPr>
            </w:pPr>
            <w:r>
              <w:rPr>
                <w:rFonts w:ascii="Arial" w:cs="Arial" w:eastAsia="Arial" w:hAnsi="Arial"/>
                <w:sz w:val="17"/>
                <w:szCs w:val="17"/>
                <w:color w:val="auto"/>
                <w:w w:val="89"/>
              </w:rPr>
              <w:t>7%</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Lifecore</w:t>
      </w:r>
    </w:p>
    <w:p>
      <w:pPr>
        <w:spacing w:after="0" w:line="178"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The increase in Lifecore’s revenues for fiscal year 2022 compared to fiscal year 2021 was primarily due to an $11.0 million increase in CDMO revenues from an increase in development services activities resulting in higher sales to new and existing customers and an increase in aseptic commercial shipments, resulting from increased demand from existing customers, as well as a $0.2 million increase in fermentation sales due to higher sales to existing customers.</w:t>
      </w:r>
    </w:p>
    <w:p>
      <w:pPr>
        <w:spacing w:after="0" w:line="11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increase in Lifecore’s revenues for fiscal year 2021 compared to fiscal year 2020 was primarily due to a $10.5 million increase in CDMO revenues resulting from increased demand from existing customers that drove an increase in aseptic filling commercial shipments, and a $1.7 million increase in fermentation sales due to higher sales to existing customers.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Curation Foods</w:t>
      </w:r>
    </w:p>
    <w:p>
      <w:pPr>
        <w:spacing w:after="0" w:line="17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increase in Curation Foods’ revenues for fiscal year 2022 compared to fiscal year 2021 was primarily driven by increased volume of sales of our guacamole and avocado products and olive oil and wine vinegars.</w:t>
      </w:r>
    </w:p>
    <w:p>
      <w:pPr>
        <w:spacing w:after="0" w:line="13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decrease in Curation Foods’ revenues for fiscal year 2021 compared to fiscal year 2020 was primarily driven by a decrease in our technology revenue primarily due to a $1.6 million nonrecurring royalty transaction in fiscal year 2020, partially offset by an increase in revenue from our Avocado Products driven by an increase in volume of sales of our guacamole and avocado products.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18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There are numerous factors that can influence gross profit including product mix, customer mix, manufacturing costs, volume, sales discounts and charges for excess or obsolete inventory, to name a few. Many of these factors influence or are interrelated with other factors. The Company includes in cost of sales all of the following costs: raw materials (including packaging, syringes, fermentation and purification supplies), direct labor, overhead (including indirect labor, depreciation, and facility-related costs), and shipping and shipping-related costs.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60" w:type="dxa"/>
            <w:vAlign w:val="bottom"/>
          </w:tcPr>
          <w:p>
            <w:pPr>
              <w:ind w:left="20"/>
              <w:spacing w:after="0"/>
              <w:rPr>
                <w:sz w:val="20"/>
                <w:szCs w:val="20"/>
                <w:color w:val="auto"/>
              </w:rPr>
            </w:pPr>
            <w:r>
              <w:rPr>
                <w:rFonts w:ascii="Arial" w:cs="Arial" w:eastAsia="Arial" w:hAnsi="Arial"/>
                <w:sz w:val="17"/>
                <w:szCs w:val="17"/>
                <w:i w:val="1"/>
                <w:iCs w:val="1"/>
                <w:color w:val="auto"/>
              </w:rPr>
              <w:t>(In thousands, except</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7"/>
        </w:trPr>
        <w:tc>
          <w:tcPr>
            <w:tcW w:w="1960" w:type="dxa"/>
            <w:vAlign w:val="bottom"/>
          </w:tcPr>
          <w:p>
            <w:pPr>
              <w:ind w:left="20"/>
              <w:spacing w:after="0"/>
              <w:rPr>
                <w:sz w:val="20"/>
                <w:szCs w:val="20"/>
                <w:color w:val="auto"/>
              </w:rPr>
            </w:pPr>
            <w:r>
              <w:rPr>
                <w:rFonts w:ascii="Arial" w:cs="Arial" w:eastAsia="Arial" w:hAnsi="Arial"/>
                <w:sz w:val="17"/>
                <w:szCs w:val="17"/>
                <w:i w:val="1"/>
                <w:iCs w:val="1"/>
                <w:color w:val="auto"/>
              </w:rPr>
              <w:t>percentages)</w:t>
            </w:r>
          </w:p>
        </w:tc>
        <w:tc>
          <w:tcPr>
            <w:tcW w:w="320" w:type="dxa"/>
            <w:vAlign w:val="bottom"/>
          </w:tcPr>
          <w:p>
            <w:pPr>
              <w:spacing w:after="0"/>
              <w:rPr>
                <w:sz w:val="18"/>
                <w:szCs w:val="18"/>
                <w:color w:val="auto"/>
              </w:rPr>
            </w:pPr>
          </w:p>
        </w:tc>
        <w:tc>
          <w:tcPr>
            <w:tcW w:w="1300" w:type="dxa"/>
            <w:vAlign w:val="bottom"/>
            <w:gridSpan w:val="3"/>
          </w:tcPr>
          <w:p>
            <w:pPr>
              <w:jc w:val="right"/>
              <w:ind w:right="14"/>
              <w:spacing w:after="0"/>
              <w:rPr>
                <w:sz w:val="20"/>
                <w:szCs w:val="20"/>
                <w:color w:val="auto"/>
              </w:rPr>
            </w:pPr>
            <w:r>
              <w:rPr>
                <w:rFonts w:ascii="Arial" w:cs="Arial" w:eastAsia="Arial" w:hAnsi="Arial"/>
                <w:sz w:val="17"/>
                <w:szCs w:val="17"/>
                <w:color w:val="auto"/>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680"/>
              <w:spacing w:after="0"/>
              <w:rPr>
                <w:sz w:val="20"/>
                <w:szCs w:val="20"/>
                <w:color w:val="auto"/>
              </w:rPr>
            </w:pPr>
            <w:r>
              <w:rPr>
                <w:rFonts w:ascii="Arial" w:cs="Arial" w:eastAsia="Arial" w:hAnsi="Arial"/>
                <w:sz w:val="17"/>
                <w:szCs w:val="17"/>
                <w:color w:val="auto"/>
                <w:w w:val="93"/>
              </w:rPr>
              <w:t>Change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ind w:left="680"/>
              <w:spacing w:after="0"/>
              <w:rPr>
                <w:sz w:val="20"/>
                <w:szCs w:val="20"/>
                <w:color w:val="auto"/>
              </w:rPr>
            </w:pPr>
            <w:r>
              <w:rPr>
                <w:rFonts w:ascii="Arial" w:cs="Arial" w:eastAsia="Arial" w:hAnsi="Arial"/>
                <w:sz w:val="17"/>
                <w:szCs w:val="17"/>
                <w:color w:val="auto"/>
                <w:w w:val="97"/>
              </w:rPr>
              <w:t>Change</w:t>
            </w:r>
          </w:p>
        </w:tc>
        <w:tc>
          <w:tcPr>
            <w:tcW w:w="780" w:type="dxa"/>
            <w:vAlign w:val="bottom"/>
          </w:tcPr>
          <w:p>
            <w:pPr>
              <w:spacing w:after="0"/>
              <w:rPr>
                <w:sz w:val="18"/>
                <w:szCs w:val="18"/>
                <w:color w:val="auto"/>
              </w:rPr>
            </w:pPr>
          </w:p>
        </w:tc>
      </w:tr>
      <w:tr>
        <w:trPr>
          <w:trHeight w:val="27"/>
        </w:trPr>
        <w:tc>
          <w:tcPr>
            <w:tcW w:w="196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1960" w:type="dxa"/>
            <w:vAlign w:val="bottom"/>
          </w:tcPr>
          <w:p>
            <w:pPr>
              <w:spacing w:after="0"/>
              <w:rPr>
                <w:sz w:val="21"/>
                <w:szCs w:val="21"/>
                <w:color w:val="auto"/>
              </w:rPr>
            </w:pPr>
          </w:p>
        </w:tc>
        <w:tc>
          <w:tcPr>
            <w:tcW w:w="1180" w:type="dxa"/>
            <w:vAlign w:val="bottom"/>
            <w:gridSpan w:val="3"/>
          </w:tcPr>
          <w:p>
            <w:pPr>
              <w:ind w:left="60"/>
              <w:spacing w:after="0"/>
              <w:rPr>
                <w:sz w:val="20"/>
                <w:szCs w:val="20"/>
                <w:color w:val="auto"/>
              </w:rPr>
            </w:pPr>
            <w:r>
              <w:rPr>
                <w:rFonts w:ascii="Arial" w:cs="Arial" w:eastAsia="Arial" w:hAnsi="Arial"/>
                <w:sz w:val="17"/>
                <w:szCs w:val="17"/>
                <w:color w:val="auto"/>
              </w:rPr>
              <w:t>May 29, 2022</w:t>
            </w:r>
          </w:p>
        </w:tc>
        <w:tc>
          <w:tcPr>
            <w:tcW w:w="1160" w:type="dxa"/>
            <w:vAlign w:val="bottom"/>
            <w:gridSpan w:val="3"/>
          </w:tcPr>
          <w:p>
            <w:pPr>
              <w:ind w:left="60"/>
              <w:spacing w:after="0"/>
              <w:rPr>
                <w:sz w:val="20"/>
                <w:szCs w:val="20"/>
                <w:color w:val="auto"/>
              </w:rPr>
            </w:pPr>
            <w:r>
              <w:rPr>
                <w:rFonts w:ascii="Arial" w:cs="Arial" w:eastAsia="Arial" w:hAnsi="Arial"/>
                <w:sz w:val="17"/>
                <w:szCs w:val="17"/>
                <w:color w:val="auto"/>
              </w:rPr>
              <w:t>May 30, 2021</w:t>
            </w:r>
          </w:p>
        </w:tc>
        <w:tc>
          <w:tcPr>
            <w:tcW w:w="180" w:type="dxa"/>
            <w:vAlign w:val="bottom"/>
          </w:tcPr>
          <w:p>
            <w:pPr>
              <w:spacing w:after="0"/>
              <w:rPr>
                <w:sz w:val="21"/>
                <w:szCs w:val="21"/>
                <w:color w:val="auto"/>
              </w:rPr>
            </w:pPr>
          </w:p>
        </w:tc>
        <w:tc>
          <w:tcPr>
            <w:tcW w:w="1260" w:type="dxa"/>
            <w:vAlign w:val="bottom"/>
            <w:gridSpan w:val="3"/>
          </w:tcPr>
          <w:p>
            <w:pPr>
              <w:ind w:left="80"/>
              <w:spacing w:after="0"/>
              <w:rPr>
                <w:sz w:val="20"/>
                <w:szCs w:val="20"/>
                <w:color w:val="auto"/>
              </w:rPr>
            </w:pPr>
            <w:r>
              <w:rPr>
                <w:rFonts w:ascii="Arial" w:cs="Arial" w:eastAsia="Arial" w:hAnsi="Arial"/>
                <w:sz w:val="17"/>
                <w:szCs w:val="17"/>
                <w:color w:val="auto"/>
              </w:rPr>
              <w:t>Amount</w:t>
            </w:r>
          </w:p>
        </w:tc>
        <w:tc>
          <w:tcPr>
            <w:tcW w:w="820" w:type="dxa"/>
            <w:vAlign w:val="bottom"/>
          </w:tcPr>
          <w:p>
            <w:pPr>
              <w:jc w:val="center"/>
              <w:ind w:right="194"/>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21"/>
                <w:szCs w:val="21"/>
                <w:color w:val="auto"/>
              </w:rPr>
            </w:pPr>
          </w:p>
        </w:tc>
        <w:tc>
          <w:tcPr>
            <w:tcW w:w="1160" w:type="dxa"/>
            <w:vAlign w:val="bottom"/>
            <w:gridSpan w:val="3"/>
          </w:tcPr>
          <w:p>
            <w:pPr>
              <w:ind w:left="60"/>
              <w:spacing w:after="0"/>
              <w:rPr>
                <w:sz w:val="20"/>
                <w:szCs w:val="20"/>
                <w:color w:val="auto"/>
              </w:rPr>
            </w:pPr>
            <w:r>
              <w:rPr>
                <w:rFonts w:ascii="Arial" w:cs="Arial" w:eastAsia="Arial" w:hAnsi="Arial"/>
                <w:sz w:val="17"/>
                <w:szCs w:val="17"/>
                <w:color w:val="auto"/>
              </w:rPr>
              <w:t>May 30, 2021</w:t>
            </w:r>
          </w:p>
        </w:tc>
        <w:tc>
          <w:tcPr>
            <w:tcW w:w="1180" w:type="dxa"/>
            <w:vAlign w:val="bottom"/>
            <w:gridSpan w:val="3"/>
          </w:tcPr>
          <w:p>
            <w:pPr>
              <w:ind w:left="60"/>
              <w:spacing w:after="0"/>
              <w:rPr>
                <w:sz w:val="20"/>
                <w:szCs w:val="20"/>
                <w:color w:val="auto"/>
              </w:rPr>
            </w:pPr>
            <w:r>
              <w:rPr>
                <w:rFonts w:ascii="Arial" w:cs="Arial" w:eastAsia="Arial" w:hAnsi="Arial"/>
                <w:sz w:val="17"/>
                <w:szCs w:val="17"/>
                <w:color w:val="auto"/>
              </w:rPr>
              <w:t>May 31, 2020</w:t>
            </w:r>
          </w:p>
        </w:tc>
        <w:tc>
          <w:tcPr>
            <w:tcW w:w="180" w:type="dxa"/>
            <w:vAlign w:val="bottom"/>
          </w:tcPr>
          <w:p>
            <w:pPr>
              <w:spacing w:after="0"/>
              <w:rPr>
                <w:sz w:val="21"/>
                <w:szCs w:val="21"/>
                <w:color w:val="auto"/>
              </w:rPr>
            </w:pPr>
          </w:p>
        </w:tc>
        <w:tc>
          <w:tcPr>
            <w:tcW w:w="1280" w:type="dxa"/>
            <w:vAlign w:val="bottom"/>
            <w:gridSpan w:val="3"/>
          </w:tcPr>
          <w:p>
            <w:pPr>
              <w:ind w:left="80"/>
              <w:spacing w:after="0"/>
              <w:rPr>
                <w:sz w:val="20"/>
                <w:szCs w:val="20"/>
                <w:color w:val="auto"/>
              </w:rPr>
            </w:pPr>
            <w:r>
              <w:rPr>
                <w:rFonts w:ascii="Arial" w:cs="Arial" w:eastAsia="Arial" w:hAnsi="Arial"/>
                <w:sz w:val="17"/>
                <w:szCs w:val="17"/>
                <w:color w:val="auto"/>
              </w:rPr>
              <w:t>Amount</w:t>
            </w:r>
          </w:p>
        </w:tc>
        <w:tc>
          <w:tcPr>
            <w:tcW w:w="780" w:type="dxa"/>
            <w:vAlign w:val="bottom"/>
          </w:tcPr>
          <w:p>
            <w:pPr>
              <w:jc w:val="center"/>
              <w:ind w:right="194"/>
              <w:spacing w:after="0"/>
              <w:rPr>
                <w:sz w:val="20"/>
                <w:szCs w:val="20"/>
                <w:color w:val="auto"/>
              </w:rPr>
            </w:pPr>
            <w:r>
              <w:rPr>
                <w:rFonts w:ascii="Arial" w:cs="Arial" w:eastAsia="Arial" w:hAnsi="Arial"/>
                <w:sz w:val="17"/>
                <w:szCs w:val="17"/>
                <w:color w:val="auto"/>
                <w:w w:val="92"/>
              </w:rPr>
              <w:t>%</w:t>
            </w:r>
          </w:p>
        </w:tc>
      </w:tr>
      <w:tr>
        <w:trPr>
          <w:trHeight w:val="239"/>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Lifecore</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43,746</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38,265</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5,481</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center"/>
              <w:ind w:right="174"/>
              <w:spacing w:after="0"/>
              <w:rPr>
                <w:sz w:val="20"/>
                <w:szCs w:val="20"/>
                <w:color w:val="auto"/>
              </w:rPr>
            </w:pPr>
            <w:r>
              <w:rPr>
                <w:rFonts w:ascii="Arial" w:cs="Arial" w:eastAsia="Arial" w:hAnsi="Arial"/>
                <w:sz w:val="17"/>
                <w:szCs w:val="17"/>
                <w:color w:val="auto"/>
                <w:w w:val="93"/>
              </w:rPr>
              <w:t>14%</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38,265</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32,883</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5,382</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center"/>
              <w:ind w:right="194"/>
              <w:spacing w:after="0"/>
              <w:rPr>
                <w:sz w:val="20"/>
                <w:szCs w:val="20"/>
                <w:color w:val="auto"/>
              </w:rPr>
            </w:pPr>
            <w:r>
              <w:rPr>
                <w:rFonts w:ascii="Arial" w:cs="Arial" w:eastAsia="Arial" w:hAnsi="Arial"/>
                <w:sz w:val="17"/>
                <w:szCs w:val="17"/>
                <w:color w:val="auto"/>
                <w:w w:val="88"/>
              </w:rPr>
              <w:t>16%</w:t>
            </w:r>
          </w:p>
        </w:tc>
      </w:tr>
      <w:tr>
        <w:trPr>
          <w:trHeight w:val="257"/>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i w:val="1"/>
                <w:iCs w:val="1"/>
                <w:color w:val="auto"/>
              </w:rPr>
              <w:t>Curation Foods</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center"/>
              <w:ind w:right="174"/>
              <w:spacing w:after="0"/>
              <w:rPr>
                <w:sz w:val="20"/>
                <w:szCs w:val="20"/>
                <w:color w:val="auto"/>
              </w:rPr>
            </w:pPr>
            <w:r>
              <w:rPr>
                <w:rFonts w:ascii="Arial" w:cs="Arial" w:eastAsia="Arial" w:hAnsi="Arial"/>
                <w:sz w:val="17"/>
                <w:szCs w:val="17"/>
                <w:color w:val="auto"/>
                <w:w w:val="96"/>
              </w:rPr>
              <w:t>(46)%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12,206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jc w:val="center"/>
              <w:ind w:right="194"/>
              <w:spacing w:after="0"/>
              <w:rPr>
                <w:sz w:val="20"/>
                <w:szCs w:val="20"/>
                <w:color w:val="auto"/>
              </w:rPr>
            </w:pPr>
            <w:r>
              <w:rPr>
                <w:rFonts w:ascii="Arial" w:cs="Arial" w:eastAsia="Arial" w:hAnsi="Arial"/>
                <w:sz w:val="17"/>
                <w:szCs w:val="17"/>
                <w:color w:val="auto"/>
                <w:w w:val="88"/>
              </w:rPr>
              <w:t>88%</w:t>
            </w:r>
          </w:p>
        </w:tc>
      </w:tr>
      <w:tr>
        <w:trPr>
          <w:trHeight w:val="238"/>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i w:val="1"/>
                <w:iCs w:val="1"/>
                <w:color w:val="auto"/>
              </w:rPr>
              <w:t>Total Gross Profit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50,370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99"/>
              </w:rPr>
              <w: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50,471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ind w:right="194"/>
              <w:spacing w:after="0"/>
              <w:rPr>
                <w:sz w:val="20"/>
                <w:szCs w:val="20"/>
                <w:color w:val="auto"/>
              </w:rPr>
            </w:pPr>
            <w:r>
              <w:rPr>
                <w:rFonts w:ascii="Arial" w:cs="Arial" w:eastAsia="Arial" w:hAnsi="Arial"/>
                <w:sz w:val="17"/>
                <w:szCs w:val="17"/>
                <w:color w:val="auto"/>
                <w:w w:val="88"/>
              </w:rPr>
              <w:t>28%</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Lifecore</w:t>
      </w:r>
    </w:p>
    <w:p>
      <w:pPr>
        <w:spacing w:after="0" w:line="17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The increase in Lifecore’s gross profit for fiscal year 2022 compared to fiscal year 2021 was primarily due to an 11% increase in revenues, as well as a favorable product mix change in fiscal year 2022. As a result, Lifecore’s gross margin increased to 40.0% in fiscal year 2022 from 39.0% in fiscal year 2021.</w:t>
      </w:r>
    </w:p>
    <w:p>
      <w:pPr>
        <w:spacing w:after="0" w:line="115"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The increase in Lifecore’s gross profit for fiscal year 2021 compared to fiscal year 2020 was primarily due to a 14% increase in revenues, as well as a favorable product mix change in fiscal year 2021. As a result, Lifecore’s gross margin increased to 39.0% in fiscal year 2021 from 38.3% in fiscal year 2020.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4" w:name="page35"/>
    <w:bookmarkEnd w:id="34"/>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Curation Foods</w:t>
      </w:r>
    </w:p>
    <w:p>
      <w:pPr>
        <w:spacing w:after="0" w:line="19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decrease in gross profit for the Curation Foods business for fiscal year 2022 compared to fiscal year 2021 was primarily driven by increased freight costs combined with increased raw product sourcing costs.</w:t>
      </w:r>
    </w:p>
    <w:p>
      <w:pPr>
        <w:spacing w:after="0" w:line="126"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The increase in gross profit for the Curation Foods business for fiscal year 2021 compared to fiscal year 2020 was primarily due to an increase in gross profits from avocado products driven by the sale of products in fiscal 2021 produced with lower cost avocados than those used for products sold in fiscal 2020.</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(R&amp;D)</w:t>
      </w:r>
    </w:p>
    <w:p>
      <w:pPr>
        <w:spacing w:after="0" w:line="191"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R&amp;D expenses consist primarily of product development and commercialization initiatives. R&amp;D expenses in our Lifecore business are focused on new products and applications for HA-based and non-HA biomaterials. In the Curation Foods business R&amp;D expenses are primarily focused on innovating our current product lines and on the Company’s proprietary BreatheWay membranes used for packaging produce, with a focus on extending the shelf-life of sensitive vegetables and fruit. For Other, the R&amp;D expenses are primarily focused on creating and developing new innovative lines of products.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80" w:type="dxa"/>
            <w:vAlign w:val="bottom"/>
          </w:tcPr>
          <w:p>
            <w:pPr>
              <w:ind w:left="20"/>
              <w:spacing w:after="0"/>
              <w:rPr>
                <w:sz w:val="20"/>
                <w:szCs w:val="20"/>
                <w:color w:val="auto"/>
              </w:rPr>
            </w:pPr>
            <w:r>
              <w:rPr>
                <w:rFonts w:ascii="Arial" w:cs="Arial" w:eastAsia="Arial" w:hAnsi="Arial"/>
                <w:sz w:val="17"/>
                <w:szCs w:val="17"/>
                <w:i w:val="1"/>
                <w:iCs w:val="1"/>
                <w:color w:val="auto"/>
              </w:rPr>
              <w:t>(In thousands, except</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7"/>
        </w:trPr>
        <w:tc>
          <w:tcPr>
            <w:tcW w:w="1880" w:type="dxa"/>
            <w:vAlign w:val="bottom"/>
          </w:tcPr>
          <w:p>
            <w:pPr>
              <w:ind w:left="20"/>
              <w:spacing w:after="0"/>
              <w:rPr>
                <w:sz w:val="20"/>
                <w:szCs w:val="20"/>
                <w:color w:val="auto"/>
              </w:rPr>
            </w:pPr>
            <w:r>
              <w:rPr>
                <w:rFonts w:ascii="Arial" w:cs="Arial" w:eastAsia="Arial" w:hAnsi="Arial"/>
                <w:sz w:val="17"/>
                <w:szCs w:val="17"/>
                <w:i w:val="1"/>
                <w:iCs w:val="1"/>
                <w:color w:val="auto"/>
              </w:rPr>
              <w:t>percentages)</w:t>
            </w:r>
          </w:p>
        </w:tc>
        <w:tc>
          <w:tcPr>
            <w:tcW w:w="340" w:type="dxa"/>
            <w:vAlign w:val="bottom"/>
          </w:tcPr>
          <w:p>
            <w:pPr>
              <w:spacing w:after="0"/>
              <w:rPr>
                <w:sz w:val="18"/>
                <w:szCs w:val="18"/>
                <w:color w:val="auto"/>
              </w:rPr>
            </w:pPr>
          </w:p>
        </w:tc>
        <w:tc>
          <w:tcPr>
            <w:tcW w:w="1300" w:type="dxa"/>
            <w:vAlign w:val="bottom"/>
            <w:gridSpan w:val="3"/>
          </w:tcPr>
          <w:p>
            <w:pPr>
              <w:jc w:val="right"/>
              <w:ind w:right="54"/>
              <w:spacing w:after="0"/>
              <w:rPr>
                <w:sz w:val="20"/>
                <w:szCs w:val="20"/>
                <w:color w:val="auto"/>
              </w:rPr>
            </w:pPr>
            <w:r>
              <w:rPr>
                <w:rFonts w:ascii="Arial" w:cs="Arial" w:eastAsia="Arial" w:hAnsi="Arial"/>
                <w:sz w:val="17"/>
                <w:szCs w:val="17"/>
                <w:color w:val="auto"/>
              </w:rPr>
              <w:t>Year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680"/>
              <w:spacing w:after="0"/>
              <w:rPr>
                <w:sz w:val="20"/>
                <w:szCs w:val="20"/>
                <w:color w:val="auto"/>
              </w:rPr>
            </w:pPr>
            <w:r>
              <w:rPr>
                <w:rFonts w:ascii="Arial" w:cs="Arial" w:eastAsia="Arial" w:hAnsi="Arial"/>
                <w:sz w:val="17"/>
                <w:szCs w:val="17"/>
                <w:color w:val="auto"/>
                <w:w w:val="93"/>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34"/>
              <w:spacing w:after="0"/>
              <w:rPr>
                <w:sz w:val="20"/>
                <w:szCs w:val="20"/>
                <w:color w:val="auto"/>
              </w:rPr>
            </w:pPr>
            <w:r>
              <w:rPr>
                <w:rFonts w:ascii="Arial" w:cs="Arial" w:eastAsia="Arial" w:hAnsi="Arial"/>
                <w:sz w:val="17"/>
                <w:szCs w:val="17"/>
                <w:color w:val="auto"/>
              </w:rPr>
              <w:t>Year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ind w:left="680"/>
              <w:spacing w:after="0"/>
              <w:rPr>
                <w:sz w:val="20"/>
                <w:szCs w:val="20"/>
                <w:color w:val="auto"/>
              </w:rPr>
            </w:pPr>
            <w:r>
              <w:rPr>
                <w:rFonts w:ascii="Arial" w:cs="Arial" w:eastAsia="Arial" w:hAnsi="Arial"/>
                <w:sz w:val="17"/>
                <w:szCs w:val="17"/>
                <w:color w:val="auto"/>
                <w:w w:val="90"/>
              </w:rPr>
              <w:t>Change</w:t>
            </w:r>
          </w:p>
        </w:tc>
        <w:tc>
          <w:tcPr>
            <w:tcW w:w="820" w:type="dxa"/>
            <w:vAlign w:val="bottom"/>
          </w:tcPr>
          <w:p>
            <w:pPr>
              <w:spacing w:after="0"/>
              <w:rPr>
                <w:sz w:val="18"/>
                <w:szCs w:val="18"/>
                <w:color w:val="auto"/>
              </w:rPr>
            </w:pPr>
          </w:p>
        </w:tc>
      </w:tr>
      <w:tr>
        <w:trPr>
          <w:trHeight w:val="27"/>
        </w:trPr>
        <w:tc>
          <w:tcPr>
            <w:tcW w:w="188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1880" w:type="dxa"/>
            <w:vAlign w:val="bottom"/>
          </w:tcPr>
          <w:p>
            <w:pPr>
              <w:spacing w:after="0"/>
              <w:rPr>
                <w:sz w:val="21"/>
                <w:szCs w:val="21"/>
                <w:color w:val="auto"/>
              </w:rPr>
            </w:pPr>
          </w:p>
        </w:tc>
        <w:tc>
          <w:tcPr>
            <w:tcW w:w="1160" w:type="dxa"/>
            <w:vAlign w:val="bottom"/>
            <w:gridSpan w:val="3"/>
          </w:tcPr>
          <w:p>
            <w:pPr>
              <w:ind w:left="40"/>
              <w:spacing w:after="0"/>
              <w:rPr>
                <w:sz w:val="20"/>
                <w:szCs w:val="20"/>
                <w:color w:val="auto"/>
              </w:rPr>
            </w:pPr>
            <w:r>
              <w:rPr>
                <w:rFonts w:ascii="Arial" w:cs="Arial" w:eastAsia="Arial" w:hAnsi="Arial"/>
                <w:sz w:val="17"/>
                <w:szCs w:val="17"/>
                <w:color w:val="auto"/>
              </w:rPr>
              <w:t>May 29, 2022</w:t>
            </w:r>
          </w:p>
        </w:tc>
        <w:tc>
          <w:tcPr>
            <w:tcW w:w="1160" w:type="dxa"/>
            <w:vAlign w:val="bottom"/>
            <w:gridSpan w:val="3"/>
          </w:tcPr>
          <w:p>
            <w:pPr>
              <w:ind w:left="40"/>
              <w:spacing w:after="0"/>
              <w:rPr>
                <w:sz w:val="20"/>
                <w:szCs w:val="20"/>
                <w:color w:val="auto"/>
              </w:rPr>
            </w:pPr>
            <w:r>
              <w:rPr>
                <w:rFonts w:ascii="Arial" w:cs="Arial" w:eastAsia="Arial" w:hAnsi="Arial"/>
                <w:sz w:val="17"/>
                <w:szCs w:val="17"/>
                <w:color w:val="auto"/>
              </w:rPr>
              <w:t>May 30, 2021</w:t>
            </w:r>
          </w:p>
        </w:tc>
        <w:tc>
          <w:tcPr>
            <w:tcW w:w="180" w:type="dxa"/>
            <w:vAlign w:val="bottom"/>
          </w:tcPr>
          <w:p>
            <w:pPr>
              <w:spacing w:after="0"/>
              <w:rPr>
                <w:sz w:val="21"/>
                <w:szCs w:val="21"/>
                <w:color w:val="auto"/>
              </w:rPr>
            </w:pPr>
          </w:p>
        </w:tc>
        <w:tc>
          <w:tcPr>
            <w:tcW w:w="1260" w:type="dxa"/>
            <w:vAlign w:val="bottom"/>
            <w:gridSpan w:val="3"/>
          </w:tcPr>
          <w:p>
            <w:pPr>
              <w:ind w:left="80"/>
              <w:spacing w:after="0"/>
              <w:rPr>
                <w:sz w:val="20"/>
                <w:szCs w:val="20"/>
                <w:color w:val="auto"/>
              </w:rPr>
            </w:pPr>
            <w:r>
              <w:rPr>
                <w:rFonts w:ascii="Arial" w:cs="Arial" w:eastAsia="Arial" w:hAnsi="Arial"/>
                <w:sz w:val="17"/>
                <w:szCs w:val="17"/>
                <w:color w:val="auto"/>
              </w:rPr>
              <w:t>Amount</w:t>
            </w:r>
          </w:p>
        </w:tc>
        <w:tc>
          <w:tcPr>
            <w:tcW w:w="800" w:type="dxa"/>
            <w:vAlign w:val="bottom"/>
          </w:tcPr>
          <w:p>
            <w:pPr>
              <w:jc w:val="center"/>
              <w:ind w:right="174"/>
              <w:spacing w:after="0"/>
              <w:rPr>
                <w:sz w:val="20"/>
                <w:szCs w:val="20"/>
                <w:color w:val="auto"/>
              </w:rPr>
            </w:pPr>
            <w:r>
              <w:rPr>
                <w:rFonts w:ascii="Arial" w:cs="Arial" w:eastAsia="Arial" w:hAnsi="Arial"/>
                <w:sz w:val="17"/>
                <w:szCs w:val="17"/>
                <w:color w:val="auto"/>
                <w:w w:val="92"/>
              </w:rPr>
              <w:t>%</w:t>
            </w:r>
          </w:p>
        </w:tc>
        <w:tc>
          <w:tcPr>
            <w:tcW w:w="120" w:type="dxa"/>
            <w:vAlign w:val="bottom"/>
          </w:tcPr>
          <w:p>
            <w:pPr>
              <w:spacing w:after="0"/>
              <w:rPr>
                <w:sz w:val="21"/>
                <w:szCs w:val="21"/>
                <w:color w:val="auto"/>
              </w:rPr>
            </w:pPr>
          </w:p>
        </w:tc>
        <w:tc>
          <w:tcPr>
            <w:tcW w:w="1160" w:type="dxa"/>
            <w:vAlign w:val="bottom"/>
            <w:gridSpan w:val="3"/>
          </w:tcPr>
          <w:p>
            <w:pPr>
              <w:ind w:left="40"/>
              <w:spacing w:after="0"/>
              <w:rPr>
                <w:sz w:val="20"/>
                <w:szCs w:val="20"/>
                <w:color w:val="auto"/>
              </w:rPr>
            </w:pPr>
            <w:r>
              <w:rPr>
                <w:rFonts w:ascii="Arial" w:cs="Arial" w:eastAsia="Arial" w:hAnsi="Arial"/>
                <w:sz w:val="17"/>
                <w:szCs w:val="17"/>
                <w:color w:val="auto"/>
              </w:rPr>
              <w:t>May 30, 2021</w:t>
            </w:r>
          </w:p>
        </w:tc>
        <w:tc>
          <w:tcPr>
            <w:tcW w:w="1180" w:type="dxa"/>
            <w:vAlign w:val="bottom"/>
            <w:gridSpan w:val="3"/>
          </w:tcPr>
          <w:p>
            <w:pPr>
              <w:ind w:left="60"/>
              <w:spacing w:after="0"/>
              <w:rPr>
                <w:sz w:val="20"/>
                <w:szCs w:val="20"/>
                <w:color w:val="auto"/>
              </w:rPr>
            </w:pPr>
            <w:r>
              <w:rPr>
                <w:rFonts w:ascii="Arial" w:cs="Arial" w:eastAsia="Arial" w:hAnsi="Arial"/>
                <w:sz w:val="17"/>
                <w:szCs w:val="17"/>
                <w:color w:val="auto"/>
              </w:rPr>
              <w:t>May 31, 2020</w:t>
            </w:r>
          </w:p>
        </w:tc>
        <w:tc>
          <w:tcPr>
            <w:tcW w:w="180" w:type="dxa"/>
            <w:vAlign w:val="bottom"/>
          </w:tcPr>
          <w:p>
            <w:pPr>
              <w:spacing w:after="0"/>
              <w:rPr>
                <w:sz w:val="21"/>
                <w:szCs w:val="21"/>
                <w:color w:val="auto"/>
              </w:rPr>
            </w:pPr>
          </w:p>
        </w:tc>
        <w:tc>
          <w:tcPr>
            <w:tcW w:w="1240" w:type="dxa"/>
            <w:vAlign w:val="bottom"/>
            <w:gridSpan w:val="3"/>
          </w:tcPr>
          <w:p>
            <w:pPr>
              <w:ind w:left="80"/>
              <w:spacing w:after="0"/>
              <w:rPr>
                <w:sz w:val="20"/>
                <w:szCs w:val="20"/>
                <w:color w:val="auto"/>
              </w:rPr>
            </w:pPr>
            <w:r>
              <w:rPr>
                <w:rFonts w:ascii="Arial" w:cs="Arial" w:eastAsia="Arial" w:hAnsi="Arial"/>
                <w:sz w:val="17"/>
                <w:szCs w:val="17"/>
                <w:color w:val="auto"/>
              </w:rPr>
              <w:t>Amount</w:t>
            </w:r>
          </w:p>
        </w:tc>
        <w:tc>
          <w:tcPr>
            <w:tcW w:w="820" w:type="dxa"/>
            <w:vAlign w:val="bottom"/>
          </w:tcPr>
          <w:p>
            <w:pPr>
              <w:jc w:val="center"/>
              <w:ind w:right="154"/>
              <w:spacing w:after="0"/>
              <w:rPr>
                <w:sz w:val="20"/>
                <w:szCs w:val="20"/>
                <w:color w:val="auto"/>
              </w:rPr>
            </w:pPr>
            <w:r>
              <w:rPr>
                <w:rFonts w:ascii="Arial" w:cs="Arial" w:eastAsia="Arial" w:hAnsi="Arial"/>
                <w:sz w:val="17"/>
                <w:szCs w:val="17"/>
                <w:color w:val="auto"/>
                <w:w w:val="92"/>
              </w:rPr>
              <w:t>%</w:t>
            </w:r>
          </w:p>
        </w:tc>
      </w:tr>
      <w:tr>
        <w:trPr>
          <w:trHeight w:val="239"/>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Lifecore</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7,359</w:t>
            </w:r>
          </w:p>
        </w:tc>
        <w:tc>
          <w:tcPr>
            <w:tcW w:w="1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6,157</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1,202</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center"/>
              <w:ind w:right="154"/>
              <w:spacing w:after="0"/>
              <w:rPr>
                <w:sz w:val="20"/>
                <w:szCs w:val="20"/>
                <w:color w:val="auto"/>
              </w:rPr>
            </w:pPr>
            <w:r>
              <w:rPr>
                <w:rFonts w:ascii="Arial" w:cs="Arial" w:eastAsia="Arial" w:hAnsi="Arial"/>
                <w:sz w:val="17"/>
                <w:szCs w:val="17"/>
                <w:color w:val="auto"/>
                <w:w w:val="93"/>
              </w:rPr>
              <w:t>20%</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6,157</w:t>
            </w: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5,910</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center"/>
              <w:ind w:right="154"/>
              <w:spacing w:after="0"/>
              <w:rPr>
                <w:sz w:val="20"/>
                <w:szCs w:val="20"/>
                <w:color w:val="auto"/>
              </w:rPr>
            </w:pPr>
            <w:r>
              <w:rPr>
                <w:rFonts w:ascii="Arial" w:cs="Arial" w:eastAsia="Arial" w:hAnsi="Arial"/>
                <w:sz w:val="17"/>
                <w:szCs w:val="17"/>
                <w:color w:val="auto"/>
                <w:w w:val="89"/>
              </w:rPr>
              <w:t>4%</w:t>
            </w:r>
          </w:p>
        </w:tc>
      </w:tr>
      <w:tr>
        <w:trPr>
          <w:trHeight w:val="257"/>
        </w:trPr>
        <w:tc>
          <w:tcPr>
            <w:tcW w:w="18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Curation</w:t>
            </w: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center"/>
              <w:ind w:right="174"/>
              <w:spacing w:after="0"/>
              <w:rPr>
                <w:sz w:val="20"/>
                <w:szCs w:val="20"/>
                <w:color w:val="auto"/>
              </w:rPr>
            </w:pPr>
            <w:r>
              <w:rPr>
                <w:rFonts w:ascii="Arial" w:cs="Arial" w:eastAsia="Arial" w:hAnsi="Arial"/>
                <w:sz w:val="17"/>
                <w:szCs w:val="17"/>
                <w:color w:val="auto"/>
                <w:w w:val="92"/>
              </w:rPr>
              <w:t>(62)%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1,266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center"/>
              <w:ind w:right="154"/>
              <w:spacing w:after="0"/>
              <w:rPr>
                <w:sz w:val="20"/>
                <w:szCs w:val="20"/>
                <w:color w:val="auto"/>
              </w:rPr>
            </w:pPr>
            <w:r>
              <w:rPr>
                <w:rFonts w:ascii="Arial" w:cs="Arial" w:eastAsia="Arial" w:hAnsi="Arial"/>
                <w:sz w:val="17"/>
                <w:szCs w:val="17"/>
                <w:color w:val="auto"/>
                <w:w w:val="92"/>
              </w:rPr>
              <w:t>(22)%</w:t>
            </w:r>
          </w:p>
        </w:tc>
      </w:tr>
      <w:tr>
        <w:trPr>
          <w:trHeight w:val="258"/>
        </w:trPr>
        <w:tc>
          <w:tcPr>
            <w:tcW w:w="188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Other</w:t>
            </w:r>
          </w:p>
        </w:tc>
        <w:tc>
          <w:tcPr>
            <w:tcW w:w="3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99"/>
              </w:rPr>
              <w:t>—%</w:t>
            </w:r>
          </w:p>
        </w:tc>
        <w:tc>
          <w:tcPr>
            <w:tcW w:w="3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right="174"/>
              <w:spacing w:after="0"/>
              <w:rPr>
                <w:sz w:val="20"/>
                <w:szCs w:val="20"/>
                <w:color w:val="auto"/>
              </w:rPr>
            </w:pPr>
            <w:r>
              <w:rPr>
                <w:rFonts w:ascii="Arial" w:cs="Arial" w:eastAsia="Arial" w:hAnsi="Arial"/>
                <w:sz w:val="17"/>
                <w:szCs w:val="17"/>
                <w:color w:val="auto"/>
                <w:w w:val="94"/>
              </w:rPr>
              <w:t>(100)%</w:t>
            </w:r>
          </w:p>
        </w:tc>
      </w:tr>
      <w:tr>
        <w:trPr>
          <w:trHeight w:val="213"/>
        </w:trPr>
        <w:tc>
          <w:tcPr>
            <w:tcW w:w="188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Total R&amp;D</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7,841</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7,423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center"/>
              <w:ind w:right="174"/>
              <w:spacing w:after="0"/>
              <w:rPr>
                <w:sz w:val="20"/>
                <w:szCs w:val="20"/>
                <w:color w:val="auto"/>
              </w:rPr>
            </w:pPr>
            <w:r>
              <w:rPr>
                <w:rFonts w:ascii="Arial" w:cs="Arial" w:eastAsia="Arial" w:hAnsi="Arial"/>
                <w:sz w:val="17"/>
                <w:szCs w:val="17"/>
                <w:color w:val="auto"/>
                <w:w w:val="89"/>
              </w:rPr>
              <w:t>6%</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7,423</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7,582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ind w:right="154"/>
              <w:spacing w:after="0"/>
              <w:rPr>
                <w:sz w:val="20"/>
                <w:szCs w:val="20"/>
                <w:color w:val="auto"/>
              </w:rPr>
            </w:pPr>
            <w:r>
              <w:rPr>
                <w:rFonts w:ascii="Arial" w:cs="Arial" w:eastAsia="Arial" w:hAnsi="Arial"/>
                <w:sz w:val="17"/>
                <w:szCs w:val="17"/>
                <w:color w:val="auto"/>
                <w:w w:val="94"/>
              </w:rPr>
              <w:t>(2)%</w:t>
            </w:r>
          </w:p>
        </w:tc>
      </w:tr>
      <w:tr>
        <w:trPr>
          <w:trHeight w:val="20"/>
        </w:trPr>
        <w:tc>
          <w:tcPr>
            <w:tcW w:w="1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increase in R&amp;D expenses for fiscal year 2022 compared to fiscal year 2021 was primarily due an increase in Lifecore’s R&amp;D expenses primarily due to higher salary and benefit expenses, including increased headcount, partially offset but a decrease in Curation Foods R&amp;D expenses due to a decrease in R&amp;D activities.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decrease in R&amp;D expenses for fiscal year 2021 compared to fiscal year 2020 was primarily due a decrease in Curation Foods and Other R&amp;D expenses due to a decrease in R&amp;D activities in these segments, partially offset by an increase in Lifecore’s R&amp;D expenses primarily due to higher salary and benefit expenses, including increased headcount.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("SG&amp;A")</w:t>
      </w:r>
    </w:p>
    <w:p>
      <w:pPr>
        <w:spacing w:after="0" w:line="17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SG&amp;A expenses consist primarily of sales and marketing expenses associated with Landec’s product sales and services, business development expenses, and staff and administrative expenses.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80" w:type="dxa"/>
            <w:vAlign w:val="bottom"/>
          </w:tcPr>
          <w:p>
            <w:pPr>
              <w:ind w:left="20"/>
              <w:spacing w:after="0"/>
              <w:rPr>
                <w:sz w:val="20"/>
                <w:szCs w:val="20"/>
                <w:color w:val="auto"/>
              </w:rPr>
            </w:pPr>
            <w:r>
              <w:rPr>
                <w:rFonts w:ascii="Arial" w:cs="Arial" w:eastAsia="Arial" w:hAnsi="Arial"/>
                <w:sz w:val="17"/>
                <w:szCs w:val="17"/>
                <w:i w:val="1"/>
                <w:iCs w:val="1"/>
                <w:color w:val="auto"/>
              </w:rPr>
              <w:t>(In thousands, except</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7"/>
        </w:trPr>
        <w:tc>
          <w:tcPr>
            <w:tcW w:w="1880" w:type="dxa"/>
            <w:vAlign w:val="bottom"/>
          </w:tcPr>
          <w:p>
            <w:pPr>
              <w:ind w:left="20"/>
              <w:spacing w:after="0"/>
              <w:rPr>
                <w:sz w:val="20"/>
                <w:szCs w:val="20"/>
                <w:color w:val="auto"/>
              </w:rPr>
            </w:pPr>
            <w:r>
              <w:rPr>
                <w:rFonts w:ascii="Arial" w:cs="Arial" w:eastAsia="Arial" w:hAnsi="Arial"/>
                <w:sz w:val="17"/>
                <w:szCs w:val="17"/>
                <w:i w:val="1"/>
                <w:iCs w:val="1"/>
                <w:color w:val="auto"/>
              </w:rPr>
              <w:t>percentages)</w:t>
            </w:r>
          </w:p>
        </w:tc>
        <w:tc>
          <w:tcPr>
            <w:tcW w:w="3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680"/>
              <w:spacing w:after="0"/>
              <w:rPr>
                <w:sz w:val="20"/>
                <w:szCs w:val="20"/>
                <w:color w:val="auto"/>
              </w:rPr>
            </w:pPr>
            <w:r>
              <w:rPr>
                <w:rFonts w:ascii="Arial" w:cs="Arial" w:eastAsia="Arial" w:hAnsi="Arial"/>
                <w:sz w:val="17"/>
                <w:szCs w:val="17"/>
                <w:color w:val="auto"/>
                <w:w w:val="93"/>
              </w:rPr>
              <w:t>Change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ind w:right="14"/>
              <w:spacing w:after="0"/>
              <w:rPr>
                <w:sz w:val="20"/>
                <w:szCs w:val="20"/>
                <w:color w:val="auto"/>
              </w:rPr>
            </w:pPr>
            <w:r>
              <w:rPr>
                <w:rFonts w:ascii="Arial" w:cs="Arial" w:eastAsia="Arial" w:hAnsi="Arial"/>
                <w:sz w:val="17"/>
                <w:szCs w:val="17"/>
                <w:color w:val="auto"/>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700"/>
              <w:spacing w:after="0"/>
              <w:rPr>
                <w:sz w:val="20"/>
                <w:szCs w:val="20"/>
                <w:color w:val="auto"/>
              </w:rPr>
            </w:pPr>
            <w:r>
              <w:rPr>
                <w:rFonts w:ascii="Arial" w:cs="Arial" w:eastAsia="Arial" w:hAnsi="Arial"/>
                <w:sz w:val="17"/>
                <w:szCs w:val="17"/>
                <w:color w:val="auto"/>
                <w:w w:val="93"/>
              </w:rPr>
              <w:t>Change</w:t>
            </w:r>
          </w:p>
        </w:tc>
        <w:tc>
          <w:tcPr>
            <w:tcW w:w="800" w:type="dxa"/>
            <w:vAlign w:val="bottom"/>
          </w:tcPr>
          <w:p>
            <w:pPr>
              <w:spacing w:after="0"/>
              <w:rPr>
                <w:sz w:val="18"/>
                <w:szCs w:val="18"/>
                <w:color w:val="auto"/>
              </w:rPr>
            </w:pPr>
          </w:p>
        </w:tc>
      </w:tr>
      <w:tr>
        <w:trPr>
          <w:trHeight w:val="27"/>
        </w:trPr>
        <w:tc>
          <w:tcPr>
            <w:tcW w:w="188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1"/>
        </w:trPr>
        <w:tc>
          <w:tcPr>
            <w:tcW w:w="188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Arial" w:cs="Arial" w:eastAsia="Arial" w:hAnsi="Arial"/>
                <w:sz w:val="17"/>
                <w:szCs w:val="17"/>
                <w:color w:val="auto"/>
              </w:rPr>
              <w:t>May 29, 2022</w:t>
            </w:r>
          </w:p>
        </w:tc>
        <w:tc>
          <w:tcPr>
            <w:tcW w:w="1180" w:type="dxa"/>
            <w:vAlign w:val="bottom"/>
            <w:gridSpan w:val="3"/>
          </w:tcPr>
          <w:p>
            <w:pPr>
              <w:ind w:left="60"/>
              <w:spacing w:after="0"/>
              <w:rPr>
                <w:sz w:val="20"/>
                <w:szCs w:val="20"/>
                <w:color w:val="auto"/>
              </w:rPr>
            </w:pPr>
            <w:r>
              <w:rPr>
                <w:rFonts w:ascii="Arial" w:cs="Arial" w:eastAsia="Arial" w:hAnsi="Arial"/>
                <w:sz w:val="17"/>
                <w:szCs w:val="17"/>
                <w:color w:val="auto"/>
              </w:rPr>
              <w:t>May 30, 2021</w:t>
            </w:r>
          </w:p>
        </w:tc>
        <w:tc>
          <w:tcPr>
            <w:tcW w:w="18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7"/>
                <w:szCs w:val="17"/>
                <w:color w:val="auto"/>
              </w:rPr>
              <w:t>Amount</w:t>
            </w:r>
          </w:p>
        </w:tc>
        <w:tc>
          <w:tcPr>
            <w:tcW w:w="800" w:type="dxa"/>
            <w:vAlign w:val="bottom"/>
          </w:tcPr>
          <w:p>
            <w:pPr>
              <w:jc w:val="center"/>
              <w:ind w:right="174"/>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Arial" w:cs="Arial" w:eastAsia="Arial" w:hAnsi="Arial"/>
                <w:sz w:val="17"/>
                <w:szCs w:val="17"/>
                <w:color w:val="auto"/>
              </w:rPr>
              <w:t>May 30, 2021</w:t>
            </w:r>
          </w:p>
        </w:tc>
        <w:tc>
          <w:tcPr>
            <w:tcW w:w="1180" w:type="dxa"/>
            <w:vAlign w:val="bottom"/>
            <w:gridSpan w:val="3"/>
          </w:tcPr>
          <w:p>
            <w:pPr>
              <w:ind w:left="60"/>
              <w:spacing w:after="0"/>
              <w:rPr>
                <w:sz w:val="20"/>
                <w:szCs w:val="20"/>
                <w:color w:val="auto"/>
              </w:rPr>
            </w:pPr>
            <w:r>
              <w:rPr>
                <w:rFonts w:ascii="Arial" w:cs="Arial" w:eastAsia="Arial" w:hAnsi="Arial"/>
                <w:sz w:val="17"/>
                <w:szCs w:val="17"/>
                <w:color w:val="auto"/>
              </w:rPr>
              <w:t>May 31, 2020</w:t>
            </w:r>
          </w:p>
        </w:tc>
        <w:tc>
          <w:tcPr>
            <w:tcW w:w="16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7"/>
                <w:szCs w:val="17"/>
                <w:color w:val="auto"/>
              </w:rPr>
              <w:t>Amount</w:t>
            </w:r>
          </w:p>
        </w:tc>
        <w:tc>
          <w:tcPr>
            <w:tcW w:w="800" w:type="dxa"/>
            <w:vAlign w:val="bottom"/>
          </w:tcPr>
          <w:p>
            <w:pPr>
              <w:jc w:val="center"/>
              <w:ind w:right="194"/>
              <w:spacing w:after="0"/>
              <w:rPr>
                <w:sz w:val="20"/>
                <w:szCs w:val="20"/>
                <w:color w:val="auto"/>
              </w:rPr>
            </w:pPr>
            <w:r>
              <w:rPr>
                <w:rFonts w:ascii="Arial" w:cs="Arial" w:eastAsia="Arial" w:hAnsi="Arial"/>
                <w:sz w:val="17"/>
                <w:szCs w:val="17"/>
                <w:color w:val="auto"/>
              </w:rPr>
              <w:t>%</w:t>
            </w:r>
          </w:p>
        </w:tc>
      </w:tr>
      <w:tr>
        <w:trPr>
          <w:trHeight w:val="239"/>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Lifecore</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10,033</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8,305</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center"/>
              <w:ind w:left="294"/>
              <w:spacing w:after="0"/>
              <w:rPr>
                <w:sz w:val="20"/>
                <w:szCs w:val="20"/>
                <w:color w:val="auto"/>
              </w:rPr>
            </w:pPr>
            <w:r>
              <w:rPr>
                <w:rFonts w:ascii="Arial" w:cs="Arial" w:eastAsia="Arial" w:hAnsi="Arial"/>
                <w:sz w:val="17"/>
                <w:szCs w:val="17"/>
                <w:color w:val="auto"/>
                <w:w w:val="89"/>
              </w:rPr>
              <w:t>1,728</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center"/>
              <w:ind w:right="194"/>
              <w:spacing w:after="0"/>
              <w:rPr>
                <w:sz w:val="20"/>
                <w:szCs w:val="20"/>
                <w:color w:val="auto"/>
              </w:rPr>
            </w:pPr>
            <w:r>
              <w:rPr>
                <w:rFonts w:ascii="Arial" w:cs="Arial" w:eastAsia="Arial" w:hAnsi="Arial"/>
                <w:sz w:val="17"/>
                <w:szCs w:val="17"/>
                <w:color w:val="auto"/>
                <w:w w:val="93"/>
              </w:rPr>
              <w:t>21%</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8,305</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7,688</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center"/>
              <w:ind w:right="194"/>
              <w:spacing w:after="0"/>
              <w:rPr>
                <w:sz w:val="20"/>
                <w:szCs w:val="20"/>
                <w:color w:val="auto"/>
              </w:rPr>
            </w:pPr>
            <w:r>
              <w:rPr>
                <w:rFonts w:ascii="Arial" w:cs="Arial" w:eastAsia="Arial" w:hAnsi="Arial"/>
                <w:sz w:val="17"/>
                <w:szCs w:val="17"/>
                <w:color w:val="auto"/>
                <w:w w:val="97"/>
              </w:rPr>
              <w:t>8%</w:t>
            </w:r>
          </w:p>
        </w:tc>
      </w:tr>
      <w:tr>
        <w:trPr>
          <w:trHeight w:val="257"/>
        </w:trPr>
        <w:tc>
          <w:tcPr>
            <w:tcW w:w="188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Curation Foods</w:t>
            </w: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19,666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10,920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center"/>
              <w:ind w:left="294"/>
              <w:spacing w:after="0"/>
              <w:rPr>
                <w:sz w:val="20"/>
                <w:szCs w:val="20"/>
                <w:color w:val="auto"/>
              </w:rPr>
            </w:pPr>
            <w:r>
              <w:rPr>
                <w:rFonts w:ascii="Arial" w:cs="Arial" w:eastAsia="Arial" w:hAnsi="Arial"/>
                <w:sz w:val="17"/>
                <w:szCs w:val="17"/>
                <w:color w:val="auto"/>
                <w:w w:val="89"/>
              </w:rPr>
              <w:t>8,746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center"/>
              <w:ind w:right="194"/>
              <w:spacing w:after="0"/>
              <w:rPr>
                <w:sz w:val="20"/>
                <w:szCs w:val="20"/>
                <w:color w:val="auto"/>
              </w:rPr>
            </w:pPr>
            <w:r>
              <w:rPr>
                <w:rFonts w:ascii="Arial" w:cs="Arial" w:eastAsia="Arial" w:hAnsi="Arial"/>
                <w:sz w:val="17"/>
                <w:szCs w:val="17"/>
                <w:color w:val="auto"/>
                <w:w w:val="93"/>
              </w:rPr>
              <w:t>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10,920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14,616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(3,696)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center"/>
              <w:ind w:right="194"/>
              <w:spacing w:after="0"/>
              <w:rPr>
                <w:sz w:val="20"/>
                <w:szCs w:val="20"/>
                <w:color w:val="auto"/>
              </w:rPr>
            </w:pPr>
            <w:r>
              <w:rPr>
                <w:rFonts w:ascii="Arial" w:cs="Arial" w:eastAsia="Arial" w:hAnsi="Arial"/>
                <w:sz w:val="17"/>
                <w:szCs w:val="17"/>
                <w:color w:val="auto"/>
                <w:w w:val="96"/>
              </w:rPr>
              <w:t>(25)%</w:t>
            </w:r>
          </w:p>
        </w:tc>
      </w:tr>
      <w:tr>
        <w:trPr>
          <w:trHeight w:val="258"/>
        </w:trPr>
        <w:tc>
          <w:tcPr>
            <w:tcW w:w="188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16,428</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18,435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center"/>
              <w:ind w:left="254"/>
              <w:spacing w:after="0"/>
              <w:rPr>
                <w:sz w:val="20"/>
                <w:szCs w:val="20"/>
                <w:color w:val="auto"/>
              </w:rPr>
            </w:pPr>
            <w:r>
              <w:rPr>
                <w:rFonts w:ascii="Arial" w:cs="Arial" w:eastAsia="Arial" w:hAnsi="Arial"/>
                <w:sz w:val="17"/>
                <w:szCs w:val="17"/>
                <w:color w:val="auto"/>
                <w:w w:val="92"/>
              </w:rPr>
              <w:t>(2,007)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jc w:val="center"/>
              <w:ind w:right="174"/>
              <w:spacing w:after="0"/>
              <w:rPr>
                <w:sz w:val="20"/>
                <w:szCs w:val="20"/>
                <w:color w:val="auto"/>
              </w:rPr>
            </w:pPr>
            <w:r>
              <w:rPr>
                <w:rFonts w:ascii="Arial" w:cs="Arial" w:eastAsia="Arial" w:hAnsi="Arial"/>
                <w:sz w:val="17"/>
                <w:szCs w:val="17"/>
                <w:color w:val="auto"/>
                <w:w w:val="92"/>
              </w:rPr>
              <w:t>(11)%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18,435</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18,370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center"/>
              <w:ind w:right="194"/>
              <w:spacing w:after="0"/>
              <w:rPr>
                <w:sz w:val="20"/>
                <w:szCs w:val="20"/>
                <w:color w:val="auto"/>
              </w:rPr>
            </w:pPr>
            <w:r>
              <w:rPr>
                <w:rFonts w:ascii="Arial" w:cs="Arial" w:eastAsia="Arial" w:hAnsi="Arial"/>
                <w:sz w:val="17"/>
                <w:szCs w:val="17"/>
                <w:color w:val="auto"/>
                <w:w w:val="99"/>
              </w:rPr>
              <w:t>—%</w:t>
            </w:r>
          </w:p>
        </w:tc>
      </w:tr>
      <w:tr>
        <w:trPr>
          <w:trHeight w:val="213"/>
        </w:trPr>
        <w:tc>
          <w:tcPr>
            <w:tcW w:w="188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Total SG&amp;A</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46,127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37,660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center"/>
              <w:ind w:left="294"/>
              <w:spacing w:after="0"/>
              <w:rPr>
                <w:sz w:val="20"/>
                <w:szCs w:val="20"/>
                <w:color w:val="auto"/>
              </w:rPr>
            </w:pPr>
            <w:r>
              <w:rPr>
                <w:rFonts w:ascii="Arial" w:cs="Arial" w:eastAsia="Arial" w:hAnsi="Arial"/>
                <w:sz w:val="17"/>
                <w:szCs w:val="17"/>
                <w:color w:val="auto"/>
                <w:w w:val="89"/>
              </w:rPr>
              <w:t>8,467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center"/>
              <w:ind w:right="194"/>
              <w:spacing w:after="0"/>
              <w:rPr>
                <w:sz w:val="20"/>
                <w:szCs w:val="20"/>
                <w:color w:val="auto"/>
              </w:rPr>
            </w:pPr>
            <w:r>
              <w:rPr>
                <w:rFonts w:ascii="Arial" w:cs="Arial" w:eastAsia="Arial" w:hAnsi="Arial"/>
                <w:sz w:val="17"/>
                <w:szCs w:val="17"/>
                <w:color w:val="auto"/>
                <w:w w:val="93"/>
              </w:rPr>
              <w:t>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37,660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40,674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center"/>
              <w:ind w:right="194"/>
              <w:spacing w:after="0"/>
              <w:rPr>
                <w:sz w:val="20"/>
                <w:szCs w:val="20"/>
                <w:color w:val="auto"/>
              </w:rPr>
            </w:pPr>
            <w:r>
              <w:rPr>
                <w:rFonts w:ascii="Arial" w:cs="Arial" w:eastAsia="Arial" w:hAnsi="Arial"/>
                <w:sz w:val="17"/>
                <w:szCs w:val="17"/>
                <w:color w:val="auto"/>
              </w:rPr>
              <w:t>(7)%</w:t>
            </w:r>
          </w:p>
        </w:tc>
      </w:tr>
      <w:tr>
        <w:trPr>
          <w:trHeight w:val="20"/>
        </w:trPr>
        <w:tc>
          <w:tcPr>
            <w:tcW w:w="1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increase in SG&amp;A expenses for fiscal year 2022 compared to fiscal year 2021 was primarily due to a $8.8 million increase in the Curation Foods segment driven by costs incurred related to the transition services agreement for the Eat Smart Disposition, and a $1.7 million increase at Lifecore due to increased salary and benefit expenses, including increased headcount. These decreases were partially offset by a $2.0 million decrease in the Other segment driven by a decrease in legal costs.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5" w:name="page36"/>
    <w:bookmarkEnd w:id="35"/>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decrease in SG&amp;A expenses for fiscal year 2021 compared to fiscal year 2020 was primarily due to cost cutting and restructuring efforts in our Curation Foods segment associated with Project SWIFT. These decreases were partially offset by a $0.6 million increase at Lifecore due to increased salary and benefit expenses, including increased headcount.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Goodwill and Long-Lived and Indefinite-Lived assets, Legal Settlement Charge, and Restructuring Costs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4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percentages)</w:t>
            </w:r>
          </w:p>
        </w:tc>
        <w:tc>
          <w:tcPr>
            <w:tcW w:w="19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7"/>
                <w:szCs w:val="17"/>
                <w:color w:val="auto"/>
              </w:rPr>
              <w:t>Year Ended</w:t>
            </w:r>
          </w:p>
        </w:tc>
        <w:tc>
          <w:tcPr>
            <w:tcW w:w="120" w:type="dxa"/>
            <w:vAlign w:val="bottom"/>
          </w:tcPr>
          <w:p>
            <w:pPr>
              <w:spacing w:after="0"/>
              <w:rPr>
                <w:sz w:val="18"/>
                <w:szCs w:val="18"/>
                <w:color w:val="auto"/>
              </w:rPr>
            </w:pPr>
          </w:p>
        </w:tc>
        <w:tc>
          <w:tcPr>
            <w:tcW w:w="1920" w:type="dxa"/>
            <w:vAlign w:val="bottom"/>
            <w:tcBorders>
              <w:bottom w:val="single" w:sz="8" w:color="auto"/>
            </w:tcBorders>
            <w:gridSpan w:val="3"/>
          </w:tcPr>
          <w:p>
            <w:pPr>
              <w:ind w:left="700"/>
              <w:spacing w:after="0"/>
              <w:rPr>
                <w:sz w:val="20"/>
                <w:szCs w:val="20"/>
                <w:color w:val="auto"/>
              </w:rPr>
            </w:pPr>
            <w:r>
              <w:rPr>
                <w:rFonts w:ascii="Arial" w:cs="Arial" w:eastAsia="Arial" w:hAnsi="Arial"/>
                <w:sz w:val="17"/>
                <w:szCs w:val="17"/>
                <w:color w:val="auto"/>
              </w:rPr>
              <w:t>Change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7"/>
                <w:szCs w:val="17"/>
                <w:color w:val="auto"/>
              </w:rPr>
              <w:t>Year Ended</w:t>
            </w:r>
          </w:p>
        </w:tc>
        <w:tc>
          <w:tcPr>
            <w:tcW w:w="120" w:type="dxa"/>
            <w:vAlign w:val="bottom"/>
          </w:tcPr>
          <w:p>
            <w:pPr>
              <w:spacing w:after="0"/>
              <w:rPr>
                <w:sz w:val="18"/>
                <w:szCs w:val="18"/>
                <w:color w:val="auto"/>
              </w:rPr>
            </w:pPr>
          </w:p>
        </w:tc>
        <w:tc>
          <w:tcPr>
            <w:tcW w:w="1920" w:type="dxa"/>
            <w:vAlign w:val="bottom"/>
            <w:tcBorders>
              <w:bottom w:val="single" w:sz="8" w:color="auto"/>
            </w:tcBorders>
            <w:gridSpan w:val="3"/>
          </w:tcPr>
          <w:p>
            <w:pPr>
              <w:ind w:left="700"/>
              <w:spacing w:after="0"/>
              <w:rPr>
                <w:sz w:val="20"/>
                <w:szCs w:val="20"/>
                <w:color w:val="auto"/>
              </w:rPr>
            </w:pPr>
            <w:r>
              <w:rPr>
                <w:rFonts w:ascii="Arial" w:cs="Arial" w:eastAsia="Arial" w:hAnsi="Arial"/>
                <w:sz w:val="17"/>
                <w:szCs w:val="17"/>
                <w:color w:val="auto"/>
              </w:rPr>
              <w:t>Change</w:t>
            </w:r>
          </w:p>
        </w:tc>
      </w:tr>
      <w:tr>
        <w:trPr>
          <w:trHeight w:val="175"/>
        </w:trPr>
        <w:tc>
          <w:tcPr>
            <w:tcW w:w="3240" w:type="dxa"/>
            <w:vAlign w:val="bottom"/>
          </w:tcPr>
          <w:p>
            <w:pPr>
              <w:spacing w:after="0"/>
              <w:rPr>
                <w:sz w:val="15"/>
                <w:szCs w:val="15"/>
                <w:color w:val="auto"/>
              </w:rPr>
            </w:pPr>
          </w:p>
        </w:tc>
        <w:tc>
          <w:tcPr>
            <w:tcW w:w="1000" w:type="dxa"/>
            <w:vAlign w:val="bottom"/>
            <w:gridSpan w:val="2"/>
          </w:tcPr>
          <w:p>
            <w:pPr>
              <w:jc w:val="center"/>
              <w:ind w:right="100"/>
              <w:spacing w:after="0" w:line="175" w:lineRule="exact"/>
              <w:rPr>
                <w:sz w:val="20"/>
                <w:szCs w:val="20"/>
                <w:color w:val="auto"/>
              </w:rPr>
            </w:pPr>
            <w:r>
              <w:rPr>
                <w:rFonts w:ascii="Arial" w:cs="Arial" w:eastAsia="Arial" w:hAnsi="Arial"/>
                <w:sz w:val="17"/>
                <w:szCs w:val="17"/>
                <w:color w:val="auto"/>
                <w:w w:val="95"/>
              </w:rPr>
              <w:t>May 29,</w:t>
            </w:r>
          </w:p>
        </w:tc>
        <w:tc>
          <w:tcPr>
            <w:tcW w:w="140" w:type="dxa"/>
            <w:vAlign w:val="bottom"/>
          </w:tcPr>
          <w:p>
            <w:pPr>
              <w:spacing w:after="0"/>
              <w:rPr>
                <w:sz w:val="15"/>
                <w:szCs w:val="15"/>
                <w:color w:val="auto"/>
              </w:rPr>
            </w:pPr>
          </w:p>
        </w:tc>
        <w:tc>
          <w:tcPr>
            <w:tcW w:w="880" w:type="dxa"/>
            <w:vAlign w:val="bottom"/>
            <w:gridSpan w:val="2"/>
          </w:tcPr>
          <w:p>
            <w:pPr>
              <w:ind w:left="20"/>
              <w:spacing w:after="0" w:line="175" w:lineRule="exact"/>
              <w:rPr>
                <w:sz w:val="20"/>
                <w:szCs w:val="20"/>
                <w:color w:val="auto"/>
              </w:rPr>
            </w:pPr>
            <w:r>
              <w:rPr>
                <w:rFonts w:ascii="Arial" w:cs="Arial" w:eastAsia="Arial" w:hAnsi="Arial"/>
                <w:sz w:val="17"/>
                <w:szCs w:val="17"/>
                <w:color w:val="auto"/>
              </w:rPr>
              <w:t>May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ind w:left="40"/>
              <w:spacing w:after="0" w:line="175" w:lineRule="exact"/>
              <w:rPr>
                <w:sz w:val="20"/>
                <w:szCs w:val="20"/>
                <w:color w:val="auto"/>
              </w:rPr>
            </w:pPr>
            <w:r>
              <w:rPr>
                <w:rFonts w:ascii="Arial" w:cs="Arial" w:eastAsia="Arial" w:hAnsi="Arial"/>
                <w:sz w:val="17"/>
                <w:szCs w:val="17"/>
                <w:color w:val="auto"/>
              </w:rPr>
              <w:t>May 30,</w:t>
            </w:r>
          </w:p>
        </w:tc>
        <w:tc>
          <w:tcPr>
            <w:tcW w:w="900" w:type="dxa"/>
            <w:vAlign w:val="bottom"/>
            <w:gridSpan w:val="2"/>
          </w:tcPr>
          <w:p>
            <w:pPr>
              <w:ind w:left="40"/>
              <w:spacing w:after="0" w:line="175" w:lineRule="exact"/>
              <w:rPr>
                <w:sz w:val="20"/>
                <w:szCs w:val="20"/>
                <w:color w:val="auto"/>
              </w:rPr>
            </w:pPr>
            <w:r>
              <w:rPr>
                <w:rFonts w:ascii="Arial" w:cs="Arial" w:eastAsia="Arial" w:hAnsi="Arial"/>
                <w:sz w:val="17"/>
                <w:szCs w:val="17"/>
                <w:color w:val="auto"/>
              </w:rPr>
              <w:t>May 31,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8"/>
        </w:trPr>
        <w:tc>
          <w:tcPr>
            <w:tcW w:w="3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Amount</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2020</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Amount</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w:t>
            </w:r>
          </w:p>
        </w:tc>
      </w:tr>
      <w:tr>
        <w:trPr>
          <w:trHeight w:val="213"/>
        </w:trPr>
        <w:tc>
          <w:tcPr>
            <w:tcW w:w="3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i w:val="1"/>
                <w:iCs w:val="1"/>
                <w:color w:val="auto"/>
                <w:w w:val="90"/>
              </w:rPr>
              <w:t>As restated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1"/>
        </w:trPr>
        <w:tc>
          <w:tcPr>
            <w:tcW w:w="3240" w:type="dxa"/>
            <w:vAlign w:val="bottom"/>
          </w:tcPr>
          <w:p>
            <w:pPr>
              <w:ind w:left="20"/>
              <w:spacing w:after="0" w:line="181" w:lineRule="exact"/>
              <w:rPr>
                <w:sz w:val="20"/>
                <w:szCs w:val="20"/>
                <w:color w:val="auto"/>
              </w:rPr>
            </w:pPr>
            <w:r>
              <w:rPr>
                <w:rFonts w:ascii="Arial" w:cs="Arial" w:eastAsia="Arial" w:hAnsi="Arial"/>
                <w:sz w:val="17"/>
                <w:szCs w:val="17"/>
                <w:b w:val="1"/>
                <w:bCs w:val="1"/>
                <w:i w:val="1"/>
                <w:iCs w:val="1"/>
                <w:color w:val="auto"/>
                <w:w w:val="90"/>
              </w:rPr>
              <w:t>Impairment of Goodwill and Long-Lived and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8"/>
        </w:trPr>
        <w:tc>
          <w:tcPr>
            <w:tcW w:w="32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Indefinite-Lived Assets</w:t>
            </w:r>
          </w:p>
        </w:tc>
        <w:tc>
          <w:tcPr>
            <w:tcW w:w="900" w:type="dxa"/>
            <w:vAlign w:val="bottom"/>
          </w:tcPr>
          <w:p>
            <w:pPr>
              <w:jc w:val="right"/>
              <w:spacing w:after="0"/>
              <w:rPr>
                <w:sz w:val="20"/>
                <w:szCs w:val="20"/>
                <w:color w:val="auto"/>
              </w:rPr>
            </w:pPr>
            <w:r>
              <w:rPr>
                <w:rFonts w:ascii="Arial" w:cs="Arial" w:eastAsia="Arial" w:hAnsi="Arial"/>
                <w:sz w:val="17"/>
                <w:szCs w:val="17"/>
                <w:color w:val="auto"/>
              </w:rPr>
              <w:t>$   46,089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   46,089</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tcPr>
          <w:p>
            <w:pPr>
              <w:ind w:left="520"/>
              <w:spacing w:after="0"/>
              <w:rPr>
                <w:sz w:val="20"/>
                <w:szCs w:val="20"/>
                <w:color w:val="auto"/>
              </w:rPr>
            </w:pPr>
            <w:r>
              <w:rPr>
                <w:rFonts w:ascii="Arial" w:cs="Arial" w:eastAsia="Arial" w:hAnsi="Arial"/>
                <w:sz w:val="17"/>
                <w:szCs w:val="17"/>
                <w:color w:val="auto"/>
              </w:rPr>
              <w:t>—  $</w:t>
            </w:r>
          </w:p>
        </w:tc>
        <w:tc>
          <w:tcPr>
            <w:tcW w:w="780" w:type="dxa"/>
            <w:vAlign w:val="bottom"/>
          </w:tcPr>
          <w:p>
            <w:pPr>
              <w:jc w:val="right"/>
              <w:spacing w:after="0"/>
              <w:rPr>
                <w:sz w:val="20"/>
                <w:szCs w:val="20"/>
                <w:color w:val="auto"/>
              </w:rPr>
            </w:pPr>
            <w:r>
              <w:rPr>
                <w:rFonts w:ascii="Arial" w:cs="Arial" w:eastAsia="Arial" w:hAnsi="Arial"/>
                <w:sz w:val="17"/>
                <w:szCs w:val="17"/>
                <w:color w:val="auto"/>
              </w:rPr>
              <w:t>12,953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  (12,953)</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(100)%</w:t>
            </w:r>
          </w:p>
        </w:tc>
      </w:tr>
      <w:tr>
        <w:trPr>
          <w:trHeight w:val="22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Legal Settlement Charge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r>
      <w:tr>
        <w:trPr>
          <w:trHeight w:val="218"/>
        </w:trPr>
        <w:tc>
          <w:tcPr>
            <w:tcW w:w="32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Restructuring Costs</w:t>
            </w:r>
          </w:p>
        </w:tc>
        <w:tc>
          <w:tcPr>
            <w:tcW w:w="900" w:type="dxa"/>
            <w:vAlign w:val="bottom"/>
          </w:tcPr>
          <w:p>
            <w:pPr>
              <w:jc w:val="right"/>
              <w:spacing w:after="0"/>
              <w:rPr>
                <w:sz w:val="20"/>
                <w:szCs w:val="20"/>
                <w:color w:val="auto"/>
              </w:rPr>
            </w:pPr>
            <w:r>
              <w:rPr>
                <w:rFonts w:ascii="Arial" w:cs="Arial" w:eastAsia="Arial" w:hAnsi="Arial"/>
                <w:sz w:val="17"/>
                <w:szCs w:val="17"/>
                <w:color w:val="auto"/>
              </w:rPr>
              <w:t>8,961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3,759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5,202</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4,054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(7)%</w:t>
            </w:r>
          </w:p>
        </w:tc>
      </w:tr>
    </w:tbl>
    <w:p>
      <w:pPr>
        <w:spacing w:after="0" w:line="200" w:lineRule="exact"/>
        <w:rPr>
          <w:sz w:val="20"/>
          <w:szCs w:val="20"/>
          <w:color w:val="auto"/>
        </w:rPr>
      </w:pPr>
    </w:p>
    <w:p>
      <w:pPr>
        <w:spacing w:after="0" w:line="27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As discussed in Note 1 - Correction of Error in Previously Reported Fiscal Year 2022 Annual Financial Statements to the consolidated financial statements in this Annual Report on Form 10-K/A, during fiscal year 2022, the Company recorded an impairment charge of $20.0 million related to its Yucatan Foods goodwill. The Company also recorded impairment charges of $8.4 million, $11.9 million, and $5.8 million related to its Yucatan Foods trademarks, property and equipment, and customer relationships, respectively. These impairment charges were primarily a result of an indication of a decrease in the fair market value of our Yucatan Foods businesses driven by lower market valuations and a decrease in projected cash flows. The Yucatan Foods related impairment charges are included in the line item “impairment of goodwill and long-lived and indefinite-lived assets” on the Consolidated Statements of Operations and are in the Curation Foods business segment. Refer to Note 1 - Impairment Review of Goodwill and Indefinite-Lived Intangible Asset in the notes to our consolidated financial statements for more information.</w:t>
      </w:r>
    </w:p>
    <w:p>
      <w:pPr>
        <w:spacing w:after="0" w:line="208" w:lineRule="exact"/>
        <w:rPr>
          <w:sz w:val="20"/>
          <w:szCs w:val="20"/>
          <w:color w:val="auto"/>
        </w:rPr>
      </w:pPr>
    </w:p>
    <w:p>
      <w:pPr>
        <w:jc w:val="both"/>
        <w:ind w:firstLine="773"/>
        <w:spacing w:after="0" w:line="257" w:lineRule="auto"/>
        <w:rPr>
          <w:sz w:val="20"/>
          <w:szCs w:val="20"/>
          <w:color w:val="auto"/>
        </w:rPr>
      </w:pPr>
      <w:r>
        <w:rPr>
          <w:rFonts w:ascii="Arial" w:cs="Arial" w:eastAsia="Arial" w:hAnsi="Arial"/>
          <w:sz w:val="17"/>
          <w:szCs w:val="17"/>
          <w:color w:val="auto"/>
        </w:rPr>
        <w:t xml:space="preserve">During fiscal year 2020, the Company recorded an impairment charge of $1.1 million and $3.5 million related to its </w:t>
      </w:r>
      <w:r>
        <w:rPr>
          <w:rFonts w:ascii="Arial" w:cs="Arial" w:eastAsia="Arial" w:hAnsi="Arial"/>
          <w:sz w:val="17"/>
          <w:szCs w:val="17"/>
          <w:i w:val="1"/>
          <w:iCs w:val="1"/>
          <w:color w:val="auto"/>
        </w:rPr>
        <w:t>O</w:t>
      </w:r>
      <w:r>
        <w:rPr>
          <w:rFonts w:ascii="Arial" w:cs="Arial" w:eastAsia="Arial" w:hAnsi="Arial"/>
          <w:sz w:val="17"/>
          <w:szCs w:val="17"/>
          <w:color w:val="auto"/>
        </w:rPr>
        <w:t xml:space="preserve"> and Yucatan Foods trademarks, respectively. The Company also recorded an impairment charge of $5.2 million and $2.7 million related to its </w:t>
      </w:r>
      <w:r>
        <w:rPr>
          <w:rFonts w:ascii="Arial" w:cs="Arial" w:eastAsia="Arial" w:hAnsi="Arial"/>
          <w:sz w:val="17"/>
          <w:szCs w:val="17"/>
          <w:i w:val="1"/>
          <w:iCs w:val="1"/>
          <w:color w:val="auto"/>
        </w:rPr>
        <w:t>O</w:t>
      </w:r>
      <w:r>
        <w:rPr>
          <w:rFonts w:ascii="Arial" w:cs="Arial" w:eastAsia="Arial" w:hAnsi="Arial"/>
          <w:sz w:val="17"/>
          <w:szCs w:val="17"/>
          <w:color w:val="auto"/>
        </w:rPr>
        <w:t xml:space="preserve"> and Yucatan Foods goodwill, respectively. The </w:t>
      </w:r>
      <w:r>
        <w:rPr>
          <w:rFonts w:ascii="Arial" w:cs="Arial" w:eastAsia="Arial" w:hAnsi="Arial"/>
          <w:sz w:val="17"/>
          <w:szCs w:val="17"/>
          <w:i w:val="1"/>
          <w:iCs w:val="1"/>
          <w:color w:val="auto"/>
        </w:rPr>
        <w:t>O</w:t>
      </w:r>
      <w:r>
        <w:rPr>
          <w:rFonts w:ascii="Arial" w:cs="Arial" w:eastAsia="Arial" w:hAnsi="Arial"/>
          <w:sz w:val="17"/>
          <w:szCs w:val="17"/>
          <w:color w:val="auto"/>
        </w:rPr>
        <w:t xml:space="preserve"> impairment charges were primarily a result of the recently updated (lowered) financial outlook for the </w:t>
      </w:r>
      <w:r>
        <w:rPr>
          <w:rFonts w:ascii="Arial" w:cs="Arial" w:eastAsia="Arial" w:hAnsi="Arial"/>
          <w:sz w:val="17"/>
          <w:szCs w:val="17"/>
          <w:i w:val="1"/>
          <w:iCs w:val="1"/>
          <w:color w:val="auto"/>
        </w:rPr>
        <w:t>O</w:t>
      </w:r>
      <w:r>
        <w:rPr>
          <w:rFonts w:ascii="Arial" w:cs="Arial" w:eastAsia="Arial" w:hAnsi="Arial"/>
          <w:sz w:val="17"/>
          <w:szCs w:val="17"/>
          <w:color w:val="auto"/>
        </w:rPr>
        <w:t xml:space="preserve"> reporting unit, related to a recent shift in strategic focus within the Curation Foods business segment. The Yucatan Foods impairment charges were primarily a result of an increase in the Yucatan Foods carrying value and an increase in the discount rate, as a result of uncertainty in forecasting the effects of COVID-19 and general economic uncertainties. These impairment charges are included in the line item “impairment of goodwill and long-lived and indefinite-lived assets” on the Consolidated Statements of Operations, and both are in the Curation Foods business segment.</w:t>
      </w:r>
    </w:p>
    <w:p>
      <w:pPr>
        <w:spacing w:after="0" w:line="15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fiscal year 2021 the Company executed a settlement agreement related to a legal matter with Pacific Harvest, Inc. and Rancho Harvest, Inc., In connection with the settlement agreement, the Company recorded a $1.8 million charge after considering the total settlement amount and insurance recoveries, and this amount is included in legal settlement charge in the Consolidated Statements of Operations for the fiscal year ended May 30, 2021. Refer to Note 9 - Commitments and Contingencies - Legal Contingencies in the notes to our consolidated financial statements for more information.</w:t>
      </w:r>
    </w:p>
    <w:p>
      <w:pPr>
        <w:spacing w:after="0" w:line="12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During fiscal year 2020, the Company announced a restructuring plan to drive enhanced profitability, focus the business on its strategic assets and redesign the organization to be the appropriate size to compete and thrive. This includes a reduction-in-force, a reduction in leased office spaces and the sale of non-strategic assets. The Company recorded $9.0 million, $3.8 million, and $4.1 million in fiscal years 2022, 2021, and 2020, respectively, related to the restructuring plan. Restructuring costs for fiscal year 2022 increased $5.2 million compared to fiscal year 2021 due to increased restructuring activity in our Curation Foods Segment as part of our Project SWIFT initiatives to sell Curation Foods assets and prepare the Company for the transition to Lifecore. Restructuring costs for fiscal year 2021 decreased $0.3 million compared to fiscal year 2020 due to a decrease in restructuring activity related to continuing operations in our Curation Foods Segment as part of our Project SWIFT initiatives. Refer to Note 13 - Restructuring Costs in the notes to our consolidated financial statements for more information.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6" w:name="page37"/>
    <w:bookmarkEnd w:id="36"/>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40" w:type="dxa"/>
            <w:vAlign w:val="bottom"/>
          </w:tcPr>
          <w:p>
            <w:pPr>
              <w:spacing w:after="0"/>
              <w:rPr>
                <w:sz w:val="20"/>
                <w:szCs w:val="20"/>
                <w:color w:val="auto"/>
              </w:rPr>
            </w:pPr>
            <w:r>
              <w:rPr>
                <w:rFonts w:ascii="Arial" w:cs="Arial" w:eastAsia="Arial" w:hAnsi="Arial"/>
                <w:sz w:val="17"/>
                <w:szCs w:val="17"/>
                <w:b w:val="1"/>
                <w:bCs w:val="1"/>
                <w:color w:val="auto"/>
              </w:rPr>
              <w:t>Other:</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6"/>
        </w:trPr>
        <w:tc>
          <w:tcPr>
            <w:tcW w:w="314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percentages)</w:t>
            </w:r>
          </w:p>
        </w:tc>
        <w:tc>
          <w:tcPr>
            <w:tcW w:w="140" w:type="dxa"/>
            <w:vAlign w:val="bottom"/>
          </w:tcPr>
          <w:p>
            <w:pPr>
              <w:spacing w:after="0"/>
              <w:rPr>
                <w:sz w:val="21"/>
                <w:szCs w:val="21"/>
                <w:color w:val="auto"/>
              </w:rPr>
            </w:pPr>
          </w:p>
        </w:tc>
        <w:tc>
          <w:tcPr>
            <w:tcW w:w="1900" w:type="dxa"/>
            <w:vAlign w:val="bottom"/>
            <w:gridSpan w:val="5"/>
          </w:tcPr>
          <w:p>
            <w:pPr>
              <w:ind w:left="440"/>
              <w:spacing w:after="0"/>
              <w:rPr>
                <w:sz w:val="20"/>
                <w:szCs w:val="20"/>
                <w:color w:val="auto"/>
              </w:rPr>
            </w:pPr>
            <w:r>
              <w:rPr>
                <w:rFonts w:ascii="Arial" w:cs="Arial" w:eastAsia="Arial" w:hAnsi="Arial"/>
                <w:sz w:val="17"/>
                <w:szCs w:val="17"/>
                <w:color w:val="auto"/>
              </w:rPr>
              <w:t>Year Ended</w:t>
            </w:r>
          </w:p>
        </w:tc>
        <w:tc>
          <w:tcPr>
            <w:tcW w:w="140" w:type="dxa"/>
            <w:vAlign w:val="bottom"/>
          </w:tcPr>
          <w:p>
            <w:pPr>
              <w:spacing w:after="0"/>
              <w:rPr>
                <w:sz w:val="21"/>
                <w:szCs w:val="21"/>
                <w:color w:val="auto"/>
              </w:rPr>
            </w:pPr>
          </w:p>
        </w:tc>
        <w:tc>
          <w:tcPr>
            <w:tcW w:w="1880" w:type="dxa"/>
            <w:vAlign w:val="bottom"/>
            <w:gridSpan w:val="4"/>
          </w:tcPr>
          <w:p>
            <w:pPr>
              <w:ind w:left="560"/>
              <w:spacing w:after="0"/>
              <w:rPr>
                <w:sz w:val="20"/>
                <w:szCs w:val="20"/>
                <w:color w:val="auto"/>
              </w:rPr>
            </w:pPr>
            <w:r>
              <w:rPr>
                <w:rFonts w:ascii="Arial" w:cs="Arial" w:eastAsia="Arial" w:hAnsi="Arial"/>
                <w:sz w:val="17"/>
                <w:szCs w:val="17"/>
                <w:color w:val="auto"/>
              </w:rPr>
              <w:t>Change</w:t>
            </w:r>
          </w:p>
        </w:tc>
        <w:tc>
          <w:tcPr>
            <w:tcW w:w="140" w:type="dxa"/>
            <w:vAlign w:val="bottom"/>
          </w:tcPr>
          <w:p>
            <w:pPr>
              <w:spacing w:after="0"/>
              <w:rPr>
                <w:sz w:val="21"/>
                <w:szCs w:val="21"/>
                <w:color w:val="auto"/>
              </w:rPr>
            </w:pPr>
          </w:p>
        </w:tc>
        <w:tc>
          <w:tcPr>
            <w:tcW w:w="1900" w:type="dxa"/>
            <w:vAlign w:val="bottom"/>
            <w:gridSpan w:val="5"/>
          </w:tcPr>
          <w:p>
            <w:pPr>
              <w:ind w:left="440"/>
              <w:spacing w:after="0"/>
              <w:rPr>
                <w:sz w:val="20"/>
                <w:szCs w:val="20"/>
                <w:color w:val="auto"/>
              </w:rPr>
            </w:pPr>
            <w:r>
              <w:rPr>
                <w:rFonts w:ascii="Arial" w:cs="Arial" w:eastAsia="Arial" w:hAnsi="Arial"/>
                <w:sz w:val="17"/>
                <w:szCs w:val="17"/>
                <w:color w:val="auto"/>
              </w:rPr>
              <w:t>Year Ended</w:t>
            </w:r>
          </w:p>
        </w:tc>
        <w:tc>
          <w:tcPr>
            <w:tcW w:w="140" w:type="dxa"/>
            <w:vAlign w:val="bottom"/>
          </w:tcPr>
          <w:p>
            <w:pPr>
              <w:spacing w:after="0"/>
              <w:rPr>
                <w:sz w:val="21"/>
                <w:szCs w:val="21"/>
                <w:color w:val="auto"/>
              </w:rPr>
            </w:pPr>
          </w:p>
        </w:tc>
        <w:tc>
          <w:tcPr>
            <w:tcW w:w="1100" w:type="dxa"/>
            <w:vAlign w:val="bottom"/>
            <w:gridSpan w:val="3"/>
          </w:tcPr>
          <w:p>
            <w:pPr>
              <w:ind w:left="560"/>
              <w:spacing w:after="0"/>
              <w:rPr>
                <w:sz w:val="20"/>
                <w:szCs w:val="20"/>
                <w:color w:val="auto"/>
              </w:rPr>
            </w:pPr>
            <w:r>
              <w:rPr>
                <w:rFonts w:ascii="Arial" w:cs="Arial" w:eastAsia="Arial" w:hAnsi="Arial"/>
                <w:sz w:val="17"/>
                <w:szCs w:val="17"/>
                <w:color w:val="auto"/>
                <w:w w:val="87"/>
              </w:rPr>
              <w:t>Change</w:t>
            </w:r>
          </w:p>
        </w:tc>
        <w:tc>
          <w:tcPr>
            <w:tcW w:w="680" w:type="dxa"/>
            <w:vAlign w:val="bottom"/>
          </w:tcPr>
          <w:p>
            <w:pPr>
              <w:spacing w:after="0"/>
              <w:rPr>
                <w:sz w:val="21"/>
                <w:szCs w:val="21"/>
                <w:color w:val="auto"/>
              </w:rPr>
            </w:pPr>
          </w:p>
        </w:tc>
      </w:tr>
      <w:tr>
        <w:trPr>
          <w:trHeight w:val="212"/>
        </w:trPr>
        <w:tc>
          <w:tcPr>
            <w:tcW w:w="314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7"/>
                <w:szCs w:val="17"/>
                <w:i w:val="1"/>
                <w:iCs w:val="1"/>
                <w:color w:val="auto"/>
                <w:w w:val="88"/>
              </w:rPr>
              <w:t>As restated</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r>
      <w:tr>
        <w:trPr>
          <w:trHeight w:val="162"/>
        </w:trPr>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7"/>
                <w:szCs w:val="17"/>
                <w:color w:val="auto"/>
                <w:w w:val="92"/>
              </w:rPr>
              <w:t>May 29,</w:t>
            </w:r>
          </w:p>
        </w:tc>
        <w:tc>
          <w:tcPr>
            <w:tcW w:w="140" w:type="dxa"/>
            <w:vAlign w:val="bottom"/>
          </w:tcPr>
          <w:p>
            <w:pPr>
              <w:spacing w:after="0"/>
              <w:rPr>
                <w:sz w:val="14"/>
                <w:szCs w:val="14"/>
                <w:color w:val="auto"/>
              </w:rPr>
            </w:pPr>
          </w:p>
        </w:tc>
        <w:tc>
          <w:tcPr>
            <w:tcW w:w="880" w:type="dxa"/>
            <w:vAlign w:val="bottom"/>
            <w:gridSpan w:val="2"/>
          </w:tcPr>
          <w:p>
            <w:pPr>
              <w:ind w:left="20"/>
              <w:spacing w:after="0" w:line="162" w:lineRule="exact"/>
              <w:rPr>
                <w:sz w:val="20"/>
                <w:szCs w:val="20"/>
                <w:color w:val="auto"/>
              </w:rPr>
            </w:pPr>
            <w:r>
              <w:rPr>
                <w:rFonts w:ascii="Arial" w:cs="Arial" w:eastAsia="Arial" w:hAnsi="Arial"/>
                <w:sz w:val="17"/>
                <w:szCs w:val="17"/>
                <w:color w:val="auto"/>
              </w:rPr>
              <w:t>May 30,</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40"/>
              <w:spacing w:after="0" w:line="162" w:lineRule="exact"/>
              <w:rPr>
                <w:sz w:val="20"/>
                <w:szCs w:val="20"/>
                <w:color w:val="auto"/>
              </w:rPr>
            </w:pPr>
            <w:r>
              <w:rPr>
                <w:rFonts w:ascii="Arial" w:cs="Arial" w:eastAsia="Arial" w:hAnsi="Arial"/>
                <w:sz w:val="17"/>
                <w:szCs w:val="17"/>
                <w:color w:val="auto"/>
              </w:rPr>
              <w:t>May 30,</w:t>
            </w:r>
          </w:p>
        </w:tc>
        <w:tc>
          <w:tcPr>
            <w:tcW w:w="140" w:type="dxa"/>
            <w:vAlign w:val="bottom"/>
          </w:tcPr>
          <w:p>
            <w:pPr>
              <w:spacing w:after="0"/>
              <w:rPr>
                <w:sz w:val="14"/>
                <w:szCs w:val="14"/>
                <w:color w:val="auto"/>
              </w:rPr>
            </w:pPr>
          </w:p>
        </w:tc>
        <w:tc>
          <w:tcPr>
            <w:tcW w:w="880" w:type="dxa"/>
            <w:vAlign w:val="bottom"/>
            <w:gridSpan w:val="2"/>
          </w:tcPr>
          <w:p>
            <w:pPr>
              <w:ind w:left="20"/>
              <w:spacing w:after="0" w:line="162" w:lineRule="exact"/>
              <w:rPr>
                <w:sz w:val="20"/>
                <w:szCs w:val="20"/>
                <w:color w:val="auto"/>
              </w:rPr>
            </w:pPr>
            <w:r>
              <w:rPr>
                <w:rFonts w:ascii="Arial" w:cs="Arial" w:eastAsia="Arial" w:hAnsi="Arial"/>
                <w:sz w:val="17"/>
                <w:szCs w:val="17"/>
                <w:color w:val="auto"/>
              </w:rPr>
              <w:t>May 31,</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31"/>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54"/>
              <w:spacing w:after="0"/>
              <w:rPr>
                <w:sz w:val="20"/>
                <w:szCs w:val="20"/>
                <w:color w:val="auto"/>
              </w:rPr>
            </w:pPr>
            <w:r>
              <w:rPr>
                <w:rFonts w:ascii="Arial" w:cs="Arial" w:eastAsia="Arial" w:hAnsi="Arial"/>
                <w:sz w:val="17"/>
                <w:szCs w:val="17"/>
                <w:color w:val="auto"/>
                <w:w w:val="95"/>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4"/>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7"/>
                <w:szCs w:val="17"/>
                <w:color w:val="auto"/>
              </w:rPr>
              <w:t>Amount</w:t>
            </w:r>
          </w:p>
        </w:tc>
        <w:tc>
          <w:tcPr>
            <w:tcW w:w="900" w:type="dxa"/>
            <w:vAlign w:val="bottom"/>
          </w:tcPr>
          <w:p>
            <w:pPr>
              <w:jc w:val="center"/>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94"/>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14"/>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7"/>
                <w:szCs w:val="17"/>
                <w:color w:val="auto"/>
              </w:rPr>
              <w:t>Amount</w:t>
            </w:r>
          </w:p>
        </w:tc>
        <w:tc>
          <w:tcPr>
            <w:tcW w:w="680" w:type="dxa"/>
            <w:vAlign w:val="bottom"/>
          </w:tcPr>
          <w:p>
            <w:pPr>
              <w:jc w:val="center"/>
              <w:ind w:right="134"/>
              <w:spacing w:after="0"/>
              <w:rPr>
                <w:sz w:val="20"/>
                <w:szCs w:val="20"/>
                <w:color w:val="auto"/>
              </w:rPr>
            </w:pPr>
            <w:r>
              <w:rPr>
                <w:rFonts w:ascii="Arial" w:cs="Arial" w:eastAsia="Arial" w:hAnsi="Arial"/>
                <w:sz w:val="17"/>
                <w:szCs w:val="17"/>
                <w:color w:val="auto"/>
                <w:w w:val="92"/>
              </w:rPr>
              <w:t>%</w:t>
            </w: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right="134"/>
              <w:spacing w:after="0"/>
              <w:rPr>
                <w:sz w:val="20"/>
                <w:szCs w:val="20"/>
                <w:color w:val="auto"/>
              </w:rPr>
            </w:pPr>
            <w:r>
              <w:rPr>
                <w:rFonts w:ascii="Arial" w:cs="Arial" w:eastAsia="Arial" w:hAnsi="Arial"/>
                <w:sz w:val="17"/>
                <w:szCs w:val="17"/>
                <w:color w:val="auto"/>
                <w:w w:val="92"/>
              </w:rPr>
              <w:t>(33)%</w:t>
            </w:r>
          </w:p>
        </w:tc>
      </w:tr>
      <w:tr>
        <w:trPr>
          <w:trHeight w:val="218"/>
        </w:trPr>
        <w:tc>
          <w:tcPr>
            <w:tcW w:w="31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Interest Expense, net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(10,387)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(6,970)</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8"/>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(10,387)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(5,741)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center"/>
              <w:ind w:right="134"/>
              <w:spacing w:after="0"/>
              <w:rPr>
                <w:sz w:val="20"/>
                <w:szCs w:val="20"/>
                <w:color w:val="auto"/>
              </w:rPr>
            </w:pPr>
            <w:r>
              <w:rPr>
                <w:rFonts w:ascii="Arial" w:cs="Arial" w:eastAsia="Arial" w:hAnsi="Arial"/>
                <w:sz w:val="17"/>
                <w:szCs w:val="17"/>
                <w:color w:val="auto"/>
                <w:w w:val="96"/>
              </w:rPr>
              <w:t>124%</w:t>
            </w: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Transition Services Income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center"/>
              <w:ind w:right="134"/>
              <w:spacing w:after="0"/>
              <w:rPr>
                <w:sz w:val="20"/>
                <w:szCs w:val="20"/>
                <w:color w:val="auto"/>
              </w:rPr>
            </w:pPr>
            <w:r>
              <w:rPr>
                <w:rFonts w:ascii="Arial" w:cs="Arial" w:eastAsia="Arial" w:hAnsi="Arial"/>
                <w:sz w:val="17"/>
                <w:szCs w:val="17"/>
                <w:color w:val="auto"/>
                <w:w w:val="93"/>
              </w:rPr>
              <w:t>—%</w:t>
            </w:r>
          </w:p>
        </w:tc>
      </w:tr>
      <w:tr>
        <w:trPr>
          <w:trHeight w:val="218"/>
        </w:trPr>
        <w:tc>
          <w:tcPr>
            <w:tcW w:w="31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Loss on Debt Refinancing</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1,110</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center"/>
              <w:ind w:right="134"/>
              <w:spacing w:after="0"/>
              <w:rPr>
                <w:sz w:val="20"/>
                <w:szCs w:val="20"/>
                <w:color w:val="auto"/>
              </w:rPr>
            </w:pPr>
            <w:r>
              <w:rPr>
                <w:rFonts w:ascii="Arial" w:cs="Arial" w:eastAsia="Arial" w:hAnsi="Arial"/>
                <w:sz w:val="17"/>
                <w:szCs w:val="17"/>
                <w:color w:val="auto"/>
                <w:w w:val="96"/>
              </w:rPr>
              <w:t>100%</w:t>
            </w: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Other Income (Expense),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N/M</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N/M</w:t>
            </w:r>
          </w:p>
        </w:tc>
      </w:tr>
      <w:tr>
        <w:trPr>
          <w:trHeight w:val="218"/>
        </w:trPr>
        <w:tc>
          <w:tcPr>
            <w:tcW w:w="31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Income Tax Benefit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5,945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4,042</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1"/>
              </w:rPr>
              <w:t>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8,774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(6,871)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center"/>
              <w:ind w:right="134"/>
              <w:spacing w:after="0"/>
              <w:rPr>
                <w:sz w:val="20"/>
                <w:szCs w:val="20"/>
                <w:color w:val="auto"/>
              </w:rPr>
            </w:pPr>
            <w:r>
              <w:rPr>
                <w:rFonts w:ascii="Arial" w:cs="Arial" w:eastAsia="Arial" w:hAnsi="Arial"/>
                <w:sz w:val="17"/>
                <w:szCs w:val="17"/>
                <w:color w:val="auto"/>
                <w:w w:val="92"/>
              </w:rPr>
              <w:t>(78)%</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191" w:lineRule="exact"/>
        <w:rPr>
          <w:sz w:val="20"/>
          <w:szCs w:val="20"/>
          <w:color w:val="auto"/>
        </w:rPr>
      </w:pPr>
    </w:p>
    <w:p>
      <w:pPr>
        <w:ind w:right="1280" w:firstLine="619"/>
        <w:spacing w:after="0" w:line="485" w:lineRule="auto"/>
        <w:rPr>
          <w:sz w:val="20"/>
          <w:szCs w:val="20"/>
          <w:color w:val="auto"/>
        </w:rPr>
      </w:pPr>
      <w:r>
        <w:rPr>
          <w:rFonts w:ascii="Arial" w:cs="Arial" w:eastAsia="Arial" w:hAnsi="Arial"/>
          <w:sz w:val="17"/>
          <w:szCs w:val="17"/>
          <w:color w:val="auto"/>
        </w:rPr>
        <w:t xml:space="preserve">The decrease in interest income in fiscal year 2022 compared to fiscal year 2021, and 2021 compared to fiscal 2020 was not significant. </w:t>
      </w:r>
      <w:r>
        <w:rPr>
          <w:rFonts w:ascii="Arial" w:cs="Arial" w:eastAsia="Arial" w:hAnsi="Arial"/>
          <w:sz w:val="17"/>
          <w:szCs w:val="17"/>
          <w:i w:val="1"/>
          <w:iCs w:val="1"/>
          <w:color w:val="auto"/>
        </w:rPr>
        <w:t>Interest Expense</w:t>
      </w:r>
    </w:p>
    <w:p>
      <w:pPr>
        <w:spacing w:after="0" w:line="2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increase in interest expense during fiscal year 2022 compared to fiscal year 2021, was primarily a result of prepaid interest and prepayment penalties incurred related to payments made on our term debt resulting from the sales of our investment in Windset and the Eat Smart Disposition, combined with higher interest rates and an increase in deferred financing costs incurred as a result of our debt refinancing in December 2020.</w:t>
      </w:r>
    </w:p>
    <w:p>
      <w:pPr>
        <w:spacing w:after="0" w:line="18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increase in interest expense during fiscal year 2021 compared to fiscal year 2020 was primarily the result of (i) an increased interest rate, due to the Company's increased Total Leverage Ratio (as defined in the Credit Agreement), combined with our debt refinancing in December 2020 at higher interest rates, (ii) an increase in deferred financing costs from those incurred in connection with the Company's amendments to the Credit Agreement since May 31, 2020 combined with our debt refinancing in December 2020, and (iii) an increase in total outstanding debt from $190.3 million as of May 31, 2020 to $193.9 million as of May 30, 2021.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Transition Services Income</w:t>
      </w:r>
    </w:p>
    <w:p>
      <w:pPr>
        <w:spacing w:after="0" w:line="243"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In fiscal year 2022 the Company earned $5.8 million of transition services income related to transition services provided to Taylor Farms related to the Eat Smart Disposition which is meant to defray costs incurred to provide the transition services which are reported within Selling, general and administrative costs.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on Debt Refinancing</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loss on debt refinancing was due to a write-off of unamortized debt issuance costs in connection with the Company refinancing its debt in December</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19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increase in other income (expense), net for fiscal years 2022 and 2021 compared to the respective prior periods was primarily the result of the change in the fair value of our interest rate swap liability.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 (As restated)</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change in income tax benefit for fiscal year 2022 compared to fiscal year 2021 was primarily due to the Company’s increase in net loss before income taxes from continuing operations and the Company’s effective tax rate for fiscal year 2022 changed from a tax provision benefit of 16.59% to a tax provision benefit of 8.56% in comparison to fiscal year 2021 after adjustment for discontinued operations. The decrease in the effective tax rate for fiscal year 2022 was primarily due to a significant valuation allowance increase and the impairment of Yucatan Foods goodwill. Refer to Note 1 - Correction of Error 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7" w:name="page38"/>
    <w:bookmarkEnd w:id="37"/>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Previously Reported Fiscal Year 2022 Annual Financial Statements to the consolidated financial statements in this Annual Report on Form 10-K/A, for details on the restatement.</w:t>
      </w:r>
    </w:p>
    <w:p>
      <w:pPr>
        <w:spacing w:after="0" w:line="190"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7"/>
          <w:szCs w:val="17"/>
          <w:color w:val="auto"/>
        </w:rPr>
        <w:t>The effective tax rate for fiscal year 2021 changed from a tax provision benefit of 28.63% to a tax provision benefit of 16.59% in comparison to fiscal year 2020 after adjustment for discontinued operations. The decrease in the income tax benefit for fiscal year 2021 was primarily due to a significant decrease in the Company's loss before tax from continuing operations, and the increase in change in valuation allowance which offsets federal and state research and development credits, and $2.8 million of NOL carryback benefit applied only for fiscal year 2020.</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of May 29, 2022, the Company had cash and cash equivalents of $1.6 million, a net increase of $0.3 million from $1.3 million at May 30, 2021.</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Operating Activities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Net cash used in operating activities during fiscal year 2022 was $24.4 million compared to $15.0 million of net cash provided by operating activities during fiscal year 2021. The primary uses of net cash in operating activities during fiscal year 2022 were (1) a $114.7 million net loss, (2) an $6.6 million net increase in working capital, and (3) a $7.0 million reduction in deferred taxes. These uses of cash were partially offset by (1) $78.1 million impairment of goodwill and long-lived and indefinite-lived assets, (2) $20.5 million of depreciation/amortization and stock-based compensation expense, and (3) $5.5 million Loss on sale of Eat Smart and loss on disposal of property and equipment related to restructuring, net.</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primary factors for the increase in working capital during the fiscal year ended 2022, was a $6.0 million increase in inventory driven by production in our Avocado Products division and to support the sales growth at Lifecore, a $6.1 million increase in accounts receivable driven by sales increases and timing of customer payments, and a $3.2 million net increase in accrued compensation and other accrued liabilities driven by severance accruals, partially offset by an increase in accounts payable of $9.3 million related to the increase in inventory and timing of payments.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Investing Activities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Net cash provided by investing activities during fiscal year 2022 was $81.8 million, compared to $10.9 million of net cash used in investing activities for fiscal year 2021. Net cash provided by investing activities during fiscal year 2022 was primarily due to the receipt of $73.5 million related to the Eat Smart Disposition (partially offset by a $9.8 million working capital adjustment and cash expenses related to the Eat Smart Disposition), $45.1 million related to the sale of the Company's investment in Windset, partially offset by the purchase of $28.1 million of equipment to support the growth of the Company’s Lifecore and Curation Foods businesses.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Financing Activities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Net cash used in financing activities during fiscal year 2022 was $57.0 million compared to $3.4 million for the same period last year. The net cash used in financing activities during fiscal year 2022 was primarily due to $86.4 million of debt pay downs under the Company's term loan, partially offset by a $20.0 million draw on the term loan multi draw accordion feature to fund Lifecore capital expenditures, and an $11.0 million net draw down on the Company’s line of credit.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Expenditures</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Landec incurred $28.1 million of capital expenditures during fiscal year 2022, which were primarily represented by continued facility modifications and expansions and equipment purchases intended to increase production capacity to support the growth and increased production efficiency of the Lifecore and Curation Foods businesses. Capital expenditures incurred during fiscal year 2021 were $23.8 million. During the fiscal year ended 2022, capital expenditures for Lifecore and Curation Foods were $23.6 million and $2.7 million, respectively, and capital expenditures for discontinued operations were $1.8 million.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8" w:name="page39"/>
    <w:bookmarkEnd w:id="38"/>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w:t>
      </w:r>
    </w:p>
    <w:p>
      <w:pPr>
        <w:spacing w:after="0" w:line="19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September 23, 2016, the Company entered into a Credit Agreement with JPMorgan, BMO, and City National Bank, as lenders (collectively, the “Lenders”), and JPMorgan as administrative agent, pursuant to which the Lenders provided the Company with a $100.0 million revolving line of credit (the “Revolver”) and a $50.0 million term loan facility (the “Term Loan”), guaranteed by each of the Company’s direct and indirect subsidiaries and secured by substantially all of the Company’s assets, with the exception of the Company’s investment in Windset.</w:t>
      </w:r>
    </w:p>
    <w:p>
      <w:pPr>
        <w:spacing w:after="0" w:line="13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On November 30, 2018, the Company entered into the Fourth Amendment to the Credit Agreement, which increased the Term Loan to $100.0 million and the Revolver to $105.0 million.</w:t>
      </w:r>
    </w:p>
    <w:p>
      <w:pPr>
        <w:spacing w:after="0" w:line="12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October 25, 2019, the Company entered into the Sixth Amendment to the Credit Agreement, which increased the Term Loan to $120.0 million and decreased the revolver to $100.0 million. Both the Revolver and the Term Loan mature on October 25, 2022, with the Term Loan requiring quarterly principal payments of $3.0 million and the remainder continuing to be due at maturity.</w:t>
      </w:r>
    </w:p>
    <w:p>
      <w:pPr>
        <w:spacing w:after="0" w:line="149"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On March 19, 2020, the Company entered into the Seventh Amendment to the Credit Agreement (the “Seventh Amendment”), which among other changes, retroactively increased the maximum Total Leverage Ratio (as defined in the Credit Agreement as the ratio of the Company’s total indebtedness on such date to the Company’s consolidated EBITDA for the period of four consecutive fiscal quarters ended on or most recently prior to such date) to 5.75 to 1.00 for the fiscal quarter ended February 23, 2020, which decreases back to 5.00 to 1.00 for the fiscal quarter ending May 31, 2020. The maximum Total Leverage Ratio thereafter decreases by 25 basis points each subsequent fiscal quarter thereafter, until it reaches 3.50 for the fiscal quarter ending November 28, 2021, and then remains fixed through maturity. The Seventh Amendment also introduced additional financial covenants that remain in effect through May 31, 2020, including minimum cumulative monthly Unadjusted EBITDA thresholds and maximum capital expenditures, as well as additional reporting requirements and frequencies. Interest on both the Revolver and the Term Loan continues to be based upon the Company’s Total Leverage Ratio, at a per annum rate of either (i) the prime rate plus a spread of between 0.25% and 3.00% or (ii) the Eurodollar rate plus a spread of between 1.25% and 4.00%.</w:t>
      </w:r>
    </w:p>
    <w:p>
      <w:pPr>
        <w:spacing w:after="0" w:line="13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July 15, 2020, the Company entered into the Eighth Amendment to the Credit Agreement (the “Eighth Amendment”), which among other things, (i) modified the definition of EBITDA to increase the limit on permitted exclusions for certain unusual, extraordinary or one-time cash items for each fiscal quarter ending on or after February 28, 2021, to a maximum of 20% of EBITDA, and (ii) restricted the Company from making Capital Expenditures over certain thresholds. Interest continues to be based on the Company’s Total Leverage Ratio, at a revised per annum Applicable Rate of either (i) the prime rate plus a spread of between 0.75% and 3.50% or (ii) the Eurodollar rate plus a spread of between 1.75% and 4.50%, plus, in each case, a commitment fee, as applicable, of between 0.15% and 0.55%, as further described in the Eighth Amendment.</w:t>
      </w:r>
    </w:p>
    <w:p>
      <w:pPr>
        <w:spacing w:after="0" w:line="14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On December 31, 2020, the Company refinanced its existing term loan and revolving credit facility by entering into two separate Credit Agreements (the "New Credit Agreements") with BMO and Goldman Sachs Specialty Lending Group, L.P. (“Goldman”) and Guggenheim Credit Services, LLC ("Guggenheim"), as lenders (collectively, the “Refinance Lenders”). Pursuant to the credit agreement related to the revolving credit facility, BMO has provided the Company, Curation Foods and Lifecore, as co-borrowers, with an up to $75.0 million revolving line of credit (the “Refinance Revolver”) and serves as administrative agent of the Refinance Revolver. Pursuant to the credit agreement related to the term loan, Goldman and Guggenheim have provided the Company, Curation Foods and Lifecore, as co-borrowers, with an up to $170.0 million term loan facility (split equally between Goldman and Guggenheim) (the “Refinance Term Loan”) and Goldman serves as administrative agent of the Refinance Term Loan. The Refinance Revolver and Refinance Term Loan are guaranteed, and secured by, substantially all of the Company’s and the Company's direct and indirect subsidiaries' assets.</w:t>
      </w:r>
    </w:p>
    <w:p>
      <w:pPr>
        <w:spacing w:after="0" w:line="14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Refinance Term Loan matures on December 31, 2025. The Refinance Revolver matures on December 31, 2025 or, if the Refinance Term Loan remains outstanding on such date, ninety (90) days prior to the maturity date of the Refinance Term Loan (on October 2, 2025).</w:t>
      </w:r>
    </w:p>
    <w:p>
      <w:pPr>
        <w:spacing w:after="0" w:line="12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Refinance Term Loan provides for principal payments by the Company of 5% per annum, payable quarterly in arrears in equal installments, commencing on March 30, 2023, with the remainder due at maturity.</w:t>
      </w:r>
    </w:p>
    <w:p>
      <w:pPr>
        <w:spacing w:after="0" w:line="126"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Interest on the Refinance Revolver is based upon the Company’s average availability, at a per annum rate of either (i) LIBOR rate plus a spread of between 2.00% and 2.50% or (ii) base rate plus a spread of between 1.00% and 1.50%, plus a commitment fee, as applicable, of 0.375%. Interest on the Refinance Term Loan is at a per annum rate based on either (i) the base rate plus a spread of 7.50% or (ii) the LIBOR rate plus a spread of 8.50%. The Refinance Term Loan Credit Agreement also provides that in the event of a prepayment of any amount other than the scheduled installments within twelve months after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9" w:name="page40"/>
    <w:bookmarkEnd w:id="39"/>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closing date, a penalty will be assessed equal to the aggregate amount of interest that would have otherwise been payable from date of prepayment event until twelve months after the closing date plus 3% of the amount prepaid.</w:t>
      </w:r>
    </w:p>
    <w:p>
      <w:pPr>
        <w:spacing w:after="0" w:line="12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New Credit Agreements provide the Company the right to increase the revolver commitments under the Refinance Revolver, subject to the satisfaction of certain conditions (including consent from BMO), by obtaining additional commitments from either BMO or another lending institution at an amount of up to $15.0 million.</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New Credit Agreements contain customary financial covenants and events of default under which the obligations thereunder could be accelerated and/or the interest rate increased in specified circumstances.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connection with the New Credit Agreements, the Company incurred debt issuance costs from the lender and third-parties of $10.3 million.</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Concurrent with the close of the New Credit Agreements, the Company repaid all outstanding borrowings under the current Credit Agreement, and terminated the Credit Agreement. In connection with the repayment of borrowings under the Credit Agreement, the Company recognized a loss in fiscal year 2021 of $1.1 million, as a result of the non-cash write-off of unamortized debt issuance costs related to the refinancing under the New Credit Agreements.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April 2022 the Company amended the New Credit Agreements to make available again $20.0 million of term debt that that had been previously repaid.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this amendment, the Company incurred debt issuance costs from the lender of $0.7 million.</w:t>
      </w:r>
    </w:p>
    <w:p>
      <w:pPr>
        <w:spacing w:after="0" w:line="219" w:lineRule="exact"/>
        <w:rPr>
          <w:sz w:val="20"/>
          <w:szCs w:val="20"/>
          <w:color w:val="auto"/>
        </w:rPr>
      </w:pPr>
    </w:p>
    <w:p>
      <w:pPr>
        <w:ind w:right="80" w:firstLine="619"/>
        <w:spacing w:after="0" w:line="289" w:lineRule="auto"/>
        <w:rPr>
          <w:sz w:val="20"/>
          <w:szCs w:val="20"/>
          <w:color w:val="auto"/>
        </w:rPr>
      </w:pPr>
      <w:r>
        <w:rPr>
          <w:rFonts w:ascii="Arial" w:cs="Arial" w:eastAsia="Arial" w:hAnsi="Arial"/>
          <w:sz w:val="15"/>
          <w:szCs w:val="15"/>
          <w:color w:val="auto"/>
        </w:rPr>
        <w:t>As of May 29, 2022, (i) $40.0 million was outstanding on the Refinance Revolver, at an interest rate of 3.00%, (ii) $103.7 million was outstanding on the Refinance Term Loan, at an interest rate of 9.5%, and (iii) the Company was in compliance with all financial covenants and had no events of default under the New Credit Agreements. However, as of the Amended Filing Date, the Company was not in compliance with the covenants under the New Credit Agreements. Please see “Part II, Item 7. Management’s Discussion and Analysis of Financial Condition and Results of Operations – Going Concern”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Obligations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material contractual obligations for the next five years and thereafter as of May 29, 2022, are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0" w:type="dxa"/>
            <w:vAlign w:val="bottom"/>
            <w:gridSpan w:val="2"/>
          </w:tcPr>
          <w:p>
            <w:pPr>
              <w:ind w:left="20"/>
              <w:spacing w:after="0"/>
              <w:rPr>
                <w:sz w:val="20"/>
                <w:szCs w:val="20"/>
                <w:color w:val="auto"/>
              </w:rPr>
            </w:pPr>
            <w:r>
              <w:rPr>
                <w:rFonts w:ascii="Arial" w:cs="Arial" w:eastAsia="Arial" w:hAnsi="Arial"/>
                <w:sz w:val="17"/>
                <w:szCs w:val="17"/>
                <w:i w:val="1"/>
                <w:iCs w:val="1"/>
                <w:color w:val="auto"/>
              </w:rPr>
              <w:t>(in thousands)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8"/>
          </w:tcPr>
          <w:p>
            <w:pPr>
              <w:ind w:left="360"/>
              <w:spacing w:after="0"/>
              <w:rPr>
                <w:sz w:val="20"/>
                <w:szCs w:val="20"/>
                <w:color w:val="auto"/>
              </w:rPr>
            </w:pPr>
            <w:r>
              <w:rPr>
                <w:rFonts w:ascii="Arial" w:cs="Arial" w:eastAsia="Arial" w:hAnsi="Arial"/>
                <w:sz w:val="17"/>
                <w:szCs w:val="17"/>
                <w:color w:val="auto"/>
              </w:rPr>
              <w:t>Due in Fiscal Year Ended May</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Obligation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91"/>
              </w:rPr>
              <w:t>Thereafter</w:t>
            </w:r>
          </w:p>
        </w:tc>
      </w:tr>
      <w:tr>
        <w:trPr>
          <w:trHeight w:val="213"/>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Debt obligations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81"/>
        </w:trPr>
        <w:tc>
          <w:tcPr>
            <w:tcW w:w="340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Interest payments associated with debt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8"/>
        </w:trPr>
        <w:tc>
          <w:tcPr>
            <w:tcW w:w="3400" w:type="dxa"/>
            <w:vAlign w:val="bottom"/>
            <w:gridSpan w:val="2"/>
          </w:tcPr>
          <w:p>
            <w:pPr>
              <w:ind w:left="20"/>
              <w:spacing w:after="0"/>
              <w:rPr>
                <w:sz w:val="20"/>
                <w:szCs w:val="20"/>
                <w:color w:val="auto"/>
              </w:rPr>
            </w:pPr>
            <w:r>
              <w:rPr>
                <w:rFonts w:ascii="Arial" w:cs="Arial" w:eastAsia="Arial" w:hAnsi="Arial"/>
                <w:sz w:val="17"/>
                <w:szCs w:val="17"/>
                <w:color w:val="auto"/>
              </w:rPr>
              <w:t>obligations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40,775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11,185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10,627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9,839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9,124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Finance leases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3400" w:type="dxa"/>
            <w:vAlign w:val="bottom"/>
            <w:gridSpan w:val="2"/>
          </w:tcPr>
          <w:p>
            <w:pPr>
              <w:ind w:left="20"/>
              <w:spacing w:after="0"/>
              <w:rPr>
                <w:sz w:val="20"/>
                <w:szCs w:val="20"/>
                <w:color w:val="auto"/>
              </w:rPr>
            </w:pPr>
            <w:r>
              <w:rPr>
                <w:rFonts w:ascii="Arial" w:cs="Arial" w:eastAsia="Arial" w:hAnsi="Arial"/>
                <w:sz w:val="17"/>
                <w:szCs w:val="17"/>
                <w:color w:val="auto"/>
              </w:rPr>
              <w:t>Operating leases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13,705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3,793</w:t>
            </w:r>
          </w:p>
        </w:tc>
      </w:tr>
      <w:tr>
        <w:trPr>
          <w:trHeight w:val="21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26,121</w:t>
            </w:r>
          </w:p>
        </w:tc>
      </w:tr>
      <w:tr>
        <w:trPr>
          <w:trHeight w:val="213"/>
        </w:trPr>
        <w:tc>
          <w:tcPr>
            <w:tcW w:w="34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256,564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25,084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27,334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25,867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141,352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29,914</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Debt obligations reflect the principal amounts outstanding on the Term Loan and the Revolver at fiscal year-end. The interest payment amounts above are based on principal amounts and contractual rates at fiscal year-end. See Note 6 – Debt in the notes to our consolidated financial statements for further information on the Company’s loans.</w:t>
      </w:r>
    </w:p>
    <w:p>
      <w:pPr>
        <w:spacing w:after="0" w:line="20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Company’s future capital requirements will depend on numerous factors, including the progress of its research and development programs; the continued development of marketing, sales and distribution capabilities; the ability of the Company to establish and maintain new licensing arrangements; the costs associated with employment-related claims; any decision to pursue additional acquisition opportunities; weather conditions that can affect the supply and price of produce, the timing and amount, if any, of payments received under licensing and research and development agreements; the costs involved in preparing, filing, prosecuting, defending, and enforcing intellectual property rights; the ability to comply with regulatory requirements; the emergence of competitive technology and market forces; the effectiveness of product commercialization activities and arrangements; and other factors. If the Company’s currently available funds, together with the internally generated cash flow from operations are not sufficient to satisfy its capital needs, the Company would be required to seek additional funding through other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0" w:name="page41"/>
    <w:bookmarkEnd w:id="40"/>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arrangements with collaborative partners, additional bank borrowings and public or private sales of its securities. There can be no assurance that additional funds, if required, will be available to the Company on favorable terms, if at all.</w:t>
      </w:r>
    </w:p>
    <w:p>
      <w:pPr>
        <w:spacing w:after="0" w:line="13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believes that its cash from operations, along with existing cash and cash equivalents and availability under its line of credit will be sufficient to finance its operational and capital requirements for at least the next twelve months.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Going Concern</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of May 29, 2022, the Company had cash and cash equivalents of $1.6 million and outstanding borrowings of $138.2 million, net of issuance costs, and as of November 27, 2022, the Company had cash and cash equivalents of $6.8 million and outstanding borrowings of $147.0 million, net of issuance costs. The Company continues to experience unfavorable market conditions leading to lower than projected sales proceeds from the disposition of its Curation Foods businesses.</w:t>
      </w:r>
    </w:p>
    <w:p>
      <w:pPr>
        <w:spacing w:after="0" w:line="13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performed an assessment, which occurred on the date of the filing of this Form 10-K/A, to determine whether there were conditions or events that, considered in the aggregate, raised substantial doubt about the Company’s ability to continue as a going concern within one year following the date the accompanying consolidated financial statements are being re- issued (the “Amended Filing Date”).</w:t>
      </w:r>
    </w:p>
    <w:p>
      <w:pPr>
        <w:spacing w:after="0" w:line="13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Company’s ability to meet its liquidity needs for one year following the Amended Filing Date will largely depend on its ability to generate cash in the future. As of November 27, 2022, the Company incurred net losses of $12.5, and the Company’s ability to generate cash in the future is subject to general economic, financial, competitive, legislative, regulatory, and other factors that are beyond the Company’s control. Based on the Company’s financial projections as of the Amended Filing Date, the Company does not believe that it will have adequate liquidity to meet its obligations for at least one year following the Amended Filing Date.</w:t>
      </w:r>
    </w:p>
    <w:p>
      <w:pPr>
        <w:spacing w:after="0" w:line="15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Company further considered how these factors and uncertainties have and could impact its ability to meet the obligations specified in the New Credit Agreements with the Lenders for at least one year following the Amended Filing Date. As of the Amended Filing Date, the Company determined that it was not in compliance with the covenant under the New Credit Agreements requiring the timely filing of financial statements. In addition, the inclusion of a going concern explanatory paragraph in the auditor’s report issued by Ernst and Young LLP in connection with the restated audited financial statements for the year ended May 29, 2022 included in this Annual Report on Form 10-K/A also violates the covenants under the New Credit Agreements.</w:t>
      </w:r>
    </w:p>
    <w:p>
      <w:pPr>
        <w:spacing w:after="0" w:line="130"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In addition, based on the Company’s current financial projections for the one-year period following the Amended Filing Date, the Company anticipates that it will not be in compliance with certain financial covenants under the New Credit Agreements during the one-year period following the Amended Filing Date, including the minimum fixed charge coverage ratio covenant for the fiscal quarters ending May 30, 2023 through November 30, 2023; the maximum leverage ratio covenant as of the fiscal quarters ending May 30, 2023 through November 30, 2023; the minimum liquidity covenant for each of the fiscal quarters ended as of February 26, 2023 through May 30, 2024; and the minimum Lifecore gross profit covenant for the fiscal quarters ending February 26, 2023 through August 30, 2023. Pursuant to the terms of the New Credit Agreements, as a result of the Company’s failure to comply with the covenants described above, the agents and the lenders under the New Credit Agreements are entitled to immediately cancel all unfunded commitments and to accelerate the maturity of all of the outstanding debt thereunder, at which time all such outstanding borrowings would become immediately due and payable by the Company. In addition, as a result of such defaults, under the New Credit Agreements, the Company will be subject to increased interest rates for any outstanding borrowings thereunder prior to repayment and, even if the agent and the lenders under the Refinance Revolver do not exercise their rights to immediately accelerate all outstanding obligations, such lenders may refuse to fund additional borrowings thereunder, which the Company relies upon for short-term liquidity needs.</w:t>
      </w:r>
    </w:p>
    <w:p>
      <w:pPr>
        <w:spacing w:after="0" w:line="12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Although the Company is currently in default, as of the Amended Filing Date, the agents and the Lenders have not taken any action to accelerate the maturity of the debt under the New Credit Agreements, nor have the Lenders under the Refinance Revolver indicated that they intend to prevent the Company from incurring additional borrowings thereunder. In such an event, however, the Company does not currently have sufficient liquidity to fund payment of the amounts that would be due under the New Credit Agreements nor does management have projected future cash flows to repay these outstanding borrowings under the New Credit Agreements if such amounts were to become payable. The Company’s inability to raise additional capital on acceptable terms in the near future, whether for purposes of funding payments required under the New Credit Agreements or providing additional liquidity needed for its operations, could have a material adverse effect on its business, results of operations, liquidity and financial condition.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1" w:name="page42"/>
    <w:bookmarkEnd w:id="41"/>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response to these conditions, the Company is currently in negotiations with the Lenders to seek a forbearance and amendment agreement to remedy the Company’s current and anticipated noncompliance with its covenants under the New Credit Agreements. The Company also intends to conduct a review of its strategic alternatives, which may involve seeking additional or alternative financing or the sale of all or a portion the Company. These processes are ongoing, however, and there can be no assurances that they will result in the completion of any such amendment, transaction or other alternative that would alleviate such conditions under the New Credit Agreements or the circumstances that give rise to substantial doubt about the Company’s ability to continue as a going concern for the twelve-month period following the Amended Filing Date.</w:t>
      </w:r>
    </w:p>
    <w:p>
      <w:pPr>
        <w:spacing w:after="0" w:line="14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Accordingly, the Company determined that it cannot be certain that the Company’s plans and initiatives would be effectively implemented within one year after the Amended Filing Date. Without giving effect to the Company’s plans and initiatives, it is unlikely that the Company will be able to generate sufficient cash flows to meet its required financial obligations, including its debt service and other obligations due to third parties within one year after the Amended Filing Date. The existence of these conditions and events raise substantial doubt about the Company’s ability to continue as a going concern for the twelve-month period following the Amended Filing Date.</w:t>
      </w:r>
    </w:p>
    <w:p>
      <w:pPr>
        <w:spacing w:after="0" w:line="14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These audited consolidated financial statements have been prepared assuming the Company will continue as a going concern, which contemplates continuity of operations, realization of assets and the satisfaction of liabilities in the normal course of business for one year following the Amended Filing Date. As such, the accompanying audited consolidated financial statements do not include any adjustments relating to the recoverability and classification of assets and their carrying amounts, or the amount and classification of liabilities that may result should the Company be unable to continue as a going concern.</w:t>
      </w:r>
    </w:p>
    <w:p>
      <w:pPr>
        <w:spacing w:after="0" w:line="13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a result, all outstanding borrowings under the New Credit Agreements are classified as short term on the Consolidated Balance Sheet as of May 29, 2022 contained in these audited consolidated financial statements.</w:t>
      </w:r>
    </w:p>
    <w:p>
      <w:pPr>
        <w:spacing w:after="0" w:line="12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Please see “Note 1. Organization, Basis of Presentation, and Summary of Significant Accounting Policies” to the Accompanying Financial Statements for additional information regarding our going concern assessment in connection with the Accompanying Financial Statements.</w:t>
      </w:r>
    </w:p>
    <w:p>
      <w:pPr>
        <w:spacing w:after="0" w:line="12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Exposure</w:t>
      </w:r>
    </w:p>
    <w:p>
      <w:pPr>
        <w:spacing w:after="0" w:line="19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net interest expense is sensitive to changes in the general level of interest rates. In this regard, changes in interest rates will affect our net interest expense, as well as the fair value of our debt.</w:t>
      </w:r>
    </w:p>
    <w:p>
      <w:pPr>
        <w:spacing w:after="0" w:line="126"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On December 31, 2020, the Company refinanced its existing term loan and revolving credit facility by entering into two separate Credit Agreements (the "New Credit Agreements") with BMO and Goldman Sachs Specialty Lending Group, L.P. (“Goldman”) and Guggenheim Credit Services, LLC ("Guggenheim"), as lenders (collectively, the “Refinance Lenders”). Pursuant to the credit agreement related to the revolving credit facility, BMO has provided the Company, Curation Foods and Lifecore, as co-borrowers, with an up to $75.0 million revolving line of credit (the “Refinance Revolver”) and serves as administrative agent of the Refinance Revolver. Pursuant to the credit agreement related to the term loan, Goldman and Guggenheim have provided the Company, Curation Foods and Lifecore, as co-borrowers, with an up to $170.0 million term loan facility (split equally between Goldman and Guggenheim) (the “Refinance Term Loan”) and Goldman serves as administrative agent of the Refinance Term Loan. The Refinance Revolver and Refinance Term Loan are guaranteed, and secured by, substantially all of the Company’s and the Company's direct and indirect subsidiaries' assets.</w:t>
      </w:r>
    </w:p>
    <w:p>
      <w:pPr>
        <w:spacing w:after="0" w:line="13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Interest on the Refinance Revolver is based upon the Company’s average availability, at a per annum rate of either (i) LIBOR rate plus a spread of between 2.00% and 2.50% or (ii) base rate plus a spread of between 1.00% and 1.50%, plus a commitment fee, as applicable, of 0.375%. Interest on the Refinance Term Loan is at a per annum rate based on either (i) the base rate plus a spread of 7.50% or (ii) the LIBOR rate plus a spread of 8.50%.</w:t>
      </w:r>
    </w:p>
    <w:p>
      <w:pPr>
        <w:spacing w:after="0" w:line="171"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color w:val="auto"/>
        </w:rPr>
        <w:t>A hypothetical 100 basis point increase or decrease in weighted average interest rates under our Refinance Revolver, based upon the face value of such instruments, would increase our interest expense by approximately $0.4 million over a twelve-month period.</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Exposure</w:t>
      </w:r>
    </w:p>
    <w:p>
      <w:pPr>
        <w:spacing w:after="0" w:line="19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Mexican-based operations transacts a portion of the business in Mexican pesos. Funds are transferred by our corporate office to Mexico to satisfy local Mexican cash needs. We do not currently use derivative instruments to hedge fluctuations in the Mexican peso to U.S. dollar exchange rates. Total impact from foreign currency translation is not significant.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2" w:name="page43"/>
    <w:bookmarkEnd w:id="42"/>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information contained in Part IV, Item 15 included elsewhere in this Annual Report on Form 10-K/A is incorporated herein by reference.</w:t>
      </w: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i w:val="1"/>
          <w:iCs w:val="1"/>
          <w:color w:val="auto"/>
        </w:rPr>
        <w:t>Changes in and Disagreements with Accountants on Accounting and Financial Disclosure</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91"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the end of the period covered by this Form 10-K/A. Our disclosure controls and procedures are designed to provide reasonable assurance that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the evaluation, our principal executive officer and principal financial officer concluded that due to material weaknesses in our internal control over financial reporting as described in the “Management’s Report on Internal Control over Financial Reporting”, our disclosure controls and procedures were not effective as of May 29, 2022.</w:t>
      </w:r>
    </w:p>
    <w:p>
      <w:pPr>
        <w:spacing w:after="0" w:line="212"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As further described below, the Company’s management is in the process of developing plans to remediate the material weaknesses identified, but they have not been remediated as of the date of filing of this Annual Report on Form 10-K/A. Despite the existence of these material weaknesses, our management believes that the consolidated financial statements included in this Annual Report on Form 10-K/A fairly present, in all material respects, the Company’s financial condition, results of operations and cash flows for the periods presented in conformity with U.S. generally accepted accounting principles.</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7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Other than the identification of the material weaknesses as described in “Management’s Report on Internal Control over Financial Reporting”, there have been no changes in our system of internal control over financial reporting during the quarter ended May 29, 2022 that have materially affected, or are reasonably likely to materially affect, our internal control over financial reporting.</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17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Management is responsible for establishing and maintaining an adequate system of internal control over financial reporting (as defined in Rule 13(a)-15(f) under the Securities Exchange Act of 1934, as amended). Our internal control over financial reporting is designed to provide reasonable assurance regarding the reliability of financial reporting and presentation of consolidated financial statements.</w:t>
      </w:r>
    </w:p>
    <w:p>
      <w:pPr>
        <w:spacing w:after="0" w:line="13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and even when determined to be effective, these controls can only provide reasonable assurance with respect to financial statement preparation and presentation. Also, projections of any evaluation of effectiveness to future periods are subject to the risk that the internal controls may become inadequate because of changes in conditions or because the degree of compliance with the policies or procedures may deteriorate.</w:t>
      </w:r>
    </w:p>
    <w:p>
      <w:pPr>
        <w:spacing w:after="0" w:line="15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Management assessed the effectiveness of our internal control over financial reporting as of May 29, 2022. In making this assessment, which was conducted under the supervision and with the participation of management, including our Chief Executive Officer and Chief Financial Officer, management used the criteria set forth by the Committee of Sponsoring Organizations of the Treadway Commission (COSO) in Internal Control – Integrated Framework (2013). As part of our annual assessment, management has concluded that we did not design and operate effective internal controls over the assessment of recoverability and measurement of fair value of certain indefinite-lived and long-lived assets. This resulted in a material error in our annual financial information as presented in and filed with our Annual Report on Form 10-K for the fiscal year ended May 29, 2022. As a result, we have restated the impacted financial information and corrected these errors in Note 1 - Correction of Error in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3" w:name="page44"/>
    <w:bookmarkEnd w:id="43"/>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Previously Reported Fiscal Year 2022 Annual Financial Statements to our consolidated financial statements included in Part IV, Item 15 of this Annual Report on Form 10-K/A.</w:t>
      </w:r>
    </w:p>
    <w:p>
      <w:pPr>
        <w:spacing w:after="0" w:line="126"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Additionally, as presented in our Annual Report on Form 10-K for the fiscal year ended May 29, 2022, management concluded previously that we did not design and operate effective internal controls over the completeness and accuracy of the accounting for non-standard transactions, that would include discontinued operations and restructuring activity. Specifically, we did not design controls for non-standard transactions to ensure the accurate presentation of non-standard transactions, which would include discontinued operations and certain restructuring costs in our financial statements. This resulted in a material error in our interim financial information as presented in and filed with our Quarterly Report on Form 10-Q for our third quarter ended February 27, 2022. As a result, we have restated the impacted interim financial information and corrected these errors in Note 14 - Correction of Error in Previously Reported Fiscal Year 2022 Interim Financial Statements (Unaudited) to our consolidated financial statements included in Part IV, Item 15 of this Annual Report on Form 10-K/A. Note 14 is repeated, unchanged, from what previously was reported in Note 1 - Correction of Error in Previously Reported Fiscal Year 2022 Annual Financial Statements to our consolidated financial statements included in Part IV, Item 15 of the Annual Report on Form 10-K.</w:t>
      </w:r>
    </w:p>
    <w:p>
      <w:pPr>
        <w:spacing w:after="0" w:line="134"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reasonable possibility that a material misstatement of the annual or interim financial statements will not be prevented or detected on a timely basis. We have determined that a gap exists in the design and operations of our controls related to the accounting and classification of certain non-standard transactions, including discontinued operations and certain restructuring costs, and in the design and operation of our controls related to the assessment of recoverability and measurement of fair value of certain indefinite-lived and long-lived assets, including intangible and other long-lived assets, which constitute material weaknesses.</w:t>
      </w:r>
    </w:p>
    <w:p>
      <w:pPr>
        <w:spacing w:after="0" w:line="12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discussed in Part II, Item 8. Financial Statements and Supplementary Data, Note 1 - Correction of Error in Previously Reported Fiscal Year 2022 Annual Financial Statements to our consolidated financial statements, the Company is restating our previously issued (i) consolidated balance sheet as of May 29, 2022, (ii) consolidated statement of comprehensive (loss) income for year ended May 29, 2022, (iii) consolidated statement of cash flows for the year ended May 29, 2022, (iv) consolidated statement of changes in stockholders' equity, and notes related thereto, as previously reported in our Annual Report on Form 10-K for the fiscal year ended May 29, 2022 (the “Prior Annual Financial Statements”).</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Restatement results from corrections by the Company primarily related to the impairment of indefinite-lived and long-lived assets related to Yucatan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Foods.</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As discussed in Part II, Item 8. Financial Statements and Supplementary Data, Note 14 -Correction of Error in Previously Reported Fiscal Year 2022 Interim Financial Statements (Unaudited) to our consolidated financial statements, the Company is restating our previously issued (i) unaudited consolidated balance sheet as of February 27, 2022 and May 30, 2021, (ii) unaudited consolidated statements of comprehensive (loss) income for the three and nine months ended February 27, 2022, (iii) unaudited consolidated statement of cash flows for the nine months ended February 27, 2022, (iv) unaudited consolidated statement of changes in stockholders' equity, and unaudited notes related thereto, as previously reported in our Quarterly Report on Form 10-Q for the third quarter period ended February 27, 2022 (“Prior Q3 Interim Financial Statements”).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Prior Q3 Interim Financial Statement Restatement results from corrections by the Company primarily related to:</w:t>
      </w:r>
    </w:p>
    <w:p>
      <w:pPr>
        <w:spacing w:after="0" w:line="191" w:lineRule="exact"/>
        <w:rPr>
          <w:sz w:val="20"/>
          <w:szCs w:val="20"/>
          <w:color w:val="auto"/>
        </w:rPr>
      </w:pPr>
    </w:p>
    <w:p>
      <w:pPr>
        <w:jc w:val="both"/>
        <w:ind w:firstLine="622"/>
        <w:spacing w:after="0" w:line="262" w:lineRule="auto"/>
        <w:tabs>
          <w:tab w:leader="none" w:pos="82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classification of certain expenses and the recording of accruals related to the Company’s recent disposition activities and the Company’s corporate transition of Landec Corporation to Lifecore Biomedical, which were previously classified as restructuring expenses from continuing operations in our Prior Q3 Interim Financial Statements, but which the Company intends to correct to classify as selling, general and administrative expenses, and cost of goods sold within continuing operations;</w:t>
      </w:r>
    </w:p>
    <w:p>
      <w:pPr>
        <w:spacing w:after="0" w:line="139" w:lineRule="exact"/>
        <w:rPr>
          <w:rFonts w:ascii="Arial" w:cs="Arial" w:eastAsia="Arial" w:hAnsi="Arial"/>
          <w:sz w:val="17"/>
          <w:szCs w:val="17"/>
          <w:color w:val="auto"/>
        </w:rPr>
      </w:pPr>
    </w:p>
    <w:p>
      <w:pPr>
        <w:jc w:val="both"/>
        <w:ind w:firstLine="622"/>
        <w:spacing w:after="0" w:line="307" w:lineRule="auto"/>
        <w:tabs>
          <w:tab w:leader="none" w:pos="878"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treatment of the fees received and costs incurred by the Company pursuant to the transition services agreement related to the sale of the Curation Foods’ Eat Smart business (the “TSA”), for which the Company had previously recognized the net of the TSA fees received and costs incurred as loss on sale of Eat Smart within discontinued operations, but for which the Company intends to correct to classify the TSA fees received by the Company within transition services income and the TSA costs incurred by the Company as selling, general and administrative expenses within continuing operations; and</w:t>
      </w:r>
    </w:p>
    <w:p>
      <w:pPr>
        <w:spacing w:after="0" w:line="110" w:lineRule="exact"/>
        <w:rPr>
          <w:rFonts w:ascii="Arial" w:cs="Arial" w:eastAsia="Arial" w:hAnsi="Arial"/>
          <w:sz w:val="15"/>
          <w:szCs w:val="15"/>
          <w:color w:val="auto"/>
        </w:rPr>
      </w:pPr>
    </w:p>
    <w:p>
      <w:pPr>
        <w:jc w:val="both"/>
        <w:ind w:firstLine="622"/>
        <w:spacing w:after="0" w:line="266" w:lineRule="auto"/>
        <w:tabs>
          <w:tab w:leader="none" w:pos="94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classification of certain costs and expenses related to the Company’s recent disposition activities and the Company’s corporate transition of Landec Corporation to Lifecore Biomedical, which were previously classified as loss on sale of Eat Smart within discontinued operations, but which the Company intends to correct to classify as selling, general and administrative expenses within continuing operations.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4" w:name="page45"/>
    <w:bookmarkEnd w:id="44"/>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Based upon our current assessment, which considered the material weaknesses described above, our management concluded that our internal control over financial reporting was not effective at May 29, 2022.</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Management’s Plan for Remediation of the Material Weaknesses</w:t>
      </w:r>
    </w:p>
    <w:p>
      <w:pPr>
        <w:spacing w:after="0" w:line="178"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In response to the material weaknesses described above, with the oversight of the Audit Committee of our Board of Directors, management has corrected the errors in its interim and annual financial statements. Management is currently evaluating remediation activities related to our processes for assessing recoverability and measurement of fair value of certain indefinite-lived and long-lived assets that will include, but are not limited to the following (i) developing a more comprehensive review over the periodic assessment of recoverability of indefinite-lived and long-lived assets; and (ii) enhancing and developing a more comprehensive review process and monitoring controls related to the measurement of fair values of indefinite-lived and long-lived assets. In addition, Management is currently evaluating remediation activities related to our non-standard transaction processes that will include, but are not limited to the following (i) enhancing and developing a more comprehensive review process and monitoring controls related to non-standard transactions; and (ii) continuing to provide training and development to our accounting team related to non-standard transactions, including discontinued operations and restructuring activity.</w:t>
      </w:r>
    </w:p>
    <w:p>
      <w:pPr>
        <w:spacing w:after="0" w:line="13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remediation efforts are intended to both address the identified material weaknesses and to enhance our overall financial control environment and will be subject to ongoing senior management review, as well as Audit Committee oversight. We plan to complete this remediation process as quickly as possible. Management is committed to continuous improvement of our internal control over financial reporting and will continue to diligently review our internal control over financial reporting.</w:t>
      </w:r>
    </w:p>
    <w:p>
      <w:pPr>
        <w:spacing w:after="0" w:line="15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independent registered public accounting firm, Ernst &amp; Young LLP, has issued an audit report on our internal control over financial reporting stating that the Company has not maintained effective internal control over financial reporting, which appears in Part IV, Item 15 of this Annual Report on Form 10-K/A, and is incorporated herein by reference.</w:t>
      </w:r>
    </w:p>
    <w:p>
      <w:pPr>
        <w:spacing w:after="0" w:line="195"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4"/>
          <w:szCs w:val="14"/>
          <w:b w:val="1"/>
          <w:bCs w:val="1"/>
          <w:i w:val="1"/>
          <w:iCs w:val="1"/>
          <w:color w:val="auto"/>
        </w:rPr>
        <w:t>Disclosure Regarding Foreign Jurisdictions that Prevent Inspections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5" w:name="page46"/>
    <w:bookmarkEnd w:id="45"/>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4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i w:val="1"/>
          <w:iCs w:val="1"/>
          <w:color w:val="auto"/>
        </w:rPr>
        <w:t>Directors, Executive Officers and Corporate Governance</w:t>
      </w:r>
    </w:p>
    <w:p>
      <w:pPr>
        <w:spacing w:after="0" w:line="184"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This information required by this item is contained in the Registrant’s definitive proxy statement filed with the Securities and Exchange Commission on September 19, 2022 and is incorporated herein by reference.</w:t>
      </w:r>
    </w:p>
    <w:p>
      <w:pPr>
        <w:spacing w:after="0" w:line="184"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i w:val="1"/>
          <w:iCs w:val="1"/>
          <w:color w:val="auto"/>
        </w:rPr>
        <w:t>Executive Compensation</w:t>
      </w:r>
    </w:p>
    <w:p>
      <w:pPr>
        <w:spacing w:after="0" w:line="184"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This information required by this item is contained in the Registrant’s definitive proxy statement filed with the Securities and Exchange Commission on September 19, 2022 and is incorporated herein by reference.</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97"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This information required by this item is contained in the Registrant’s definitive proxy statement filed with the Securities and Exchange Commission on September 19, 2022 and is incorporated herein by reference.</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i w:val="1"/>
          <w:iCs w:val="1"/>
          <w:color w:val="auto"/>
        </w:rPr>
        <w:t>Certain Relationships and Related Transactions and Director Independence</w:t>
      </w:r>
    </w:p>
    <w:p>
      <w:pPr>
        <w:spacing w:after="0" w:line="184"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This information required by this item is contained in the Registrant’s definitive proxy statement filed with the Securities and Exchange Commission on September 19, 2022 and is incorporated herein by reference.</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i w:val="1"/>
          <w:iCs w:val="1"/>
          <w:color w:val="auto"/>
        </w:rPr>
        <w:t>Principal Accountant Fees and Services</w:t>
      </w:r>
    </w:p>
    <w:p>
      <w:pPr>
        <w:spacing w:after="0" w:line="184"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This information required by this item is contained in the Registrant’s definitive proxy statement filed with the Securities and Exchange Commission on September 19, 2022 and is incorporated herein by reference.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6" w:name="page47"/>
    <w:bookmarkEnd w:id="46"/>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gridSpan w:val="5"/>
          </w:tcPr>
          <w:p>
            <w:pPr>
              <w:ind w:left="60"/>
              <w:spacing w:after="0"/>
              <w:rPr>
                <w:sz w:val="20"/>
                <w:szCs w:val="20"/>
                <w:color w:val="auto"/>
              </w:rPr>
            </w:pPr>
            <w:r>
              <w:rPr>
                <w:rFonts w:ascii="Arial" w:cs="Arial" w:eastAsia="Arial" w:hAnsi="Arial"/>
                <w:sz w:val="17"/>
                <w:szCs w:val="17"/>
                <w:b w:val="1"/>
                <w:bCs w:val="1"/>
                <w:color w:val="auto"/>
              </w:rPr>
              <w:t>PART IV</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8"/>
        </w:trPr>
        <w:tc>
          <w:tcPr>
            <w:tcW w:w="9840" w:type="dxa"/>
            <w:vAlign w:val="bottom"/>
            <w:gridSpan w:val="9"/>
          </w:tcPr>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and Financial Statement Schedules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9840" w:type="dxa"/>
            <w:vAlign w:val="bottom"/>
            <w:gridSpan w:val="9"/>
          </w:tcPr>
          <w:p>
            <w:pPr>
              <w:ind w:left="20"/>
              <w:spacing w:after="0"/>
              <w:rPr>
                <w:sz w:val="20"/>
                <w:szCs w:val="20"/>
                <w:color w:val="auto"/>
              </w:rPr>
            </w:pPr>
            <w:r>
              <w:rPr>
                <w:rFonts w:ascii="Arial" w:cs="Arial" w:eastAsia="Arial" w:hAnsi="Arial"/>
                <w:sz w:val="17"/>
                <w:szCs w:val="17"/>
                <w:color w:val="auto"/>
              </w:rPr>
              <w:t>(a)  1.  Consolidated Financial Statements of Lifecore Biomedical, Inc.</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82"/>
        </w:trPr>
        <w:tc>
          <w:tcPr>
            <w:tcW w:w="7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gridSpan w:val="3"/>
          </w:tcPr>
          <w:p>
            <w:pPr>
              <w:jc w:val="center"/>
              <w:spacing w:after="0" w:line="182" w:lineRule="exact"/>
              <w:rPr>
                <w:sz w:val="20"/>
                <w:szCs w:val="20"/>
                <w:color w:val="auto"/>
              </w:rPr>
            </w:pPr>
            <w:r>
              <w:rPr>
                <w:rFonts w:ascii="Arial" w:cs="Arial" w:eastAsia="Arial" w:hAnsi="Arial"/>
                <w:sz w:val="17"/>
                <w:szCs w:val="17"/>
                <w:color w:val="auto"/>
                <w:w w:val="85"/>
              </w:rPr>
              <w:t>Page</w:t>
            </w:r>
          </w:p>
        </w:tc>
      </w:tr>
      <w:tr>
        <w:trPr>
          <w:trHeight w:val="289"/>
        </w:trPr>
        <w:tc>
          <w:tcPr>
            <w:tcW w:w="720" w:type="dxa"/>
            <w:vAlign w:val="bottom"/>
          </w:tcPr>
          <w:p>
            <w:pPr>
              <w:spacing w:after="0"/>
              <w:rPr>
                <w:sz w:val="24"/>
                <w:szCs w:val="24"/>
                <w:color w:val="auto"/>
              </w:rPr>
            </w:pPr>
          </w:p>
        </w:tc>
        <w:tc>
          <w:tcPr>
            <w:tcW w:w="9120" w:type="dxa"/>
            <w:vAlign w:val="bottom"/>
            <w:gridSpan w:val="8"/>
          </w:tcPr>
          <w:p>
            <w:pPr>
              <w:spacing w:after="0"/>
              <w:rPr>
                <w:sz w:val="20"/>
                <w:szCs w:val="20"/>
                <w:color w:val="auto"/>
              </w:rPr>
            </w:pPr>
            <w:r>
              <w:rPr>
                <w:rFonts w:ascii="Arial" w:cs="Arial" w:eastAsia="Arial" w:hAnsi="Arial"/>
                <w:sz w:val="17"/>
                <w:szCs w:val="17"/>
                <w:color w:val="0000FF"/>
              </w:rPr>
              <w:t xml:space="preserve">Reports of Independent Registered Public Accounting Firm </w:t>
            </w:r>
            <w:r>
              <w:rPr>
                <w:rFonts w:ascii="Arial" w:cs="Arial" w:eastAsia="Arial" w:hAnsi="Arial"/>
                <w:sz w:val="17"/>
                <w:szCs w:val="17"/>
                <w:color w:val="000000"/>
              </w:rPr>
              <w:t>(PCAOB ID: 42)</w:t>
            </w:r>
          </w:p>
        </w:tc>
        <w:tc>
          <w:tcPr>
            <w:tcW w:w="420" w:type="dxa"/>
            <w:vAlign w:val="bottom"/>
            <w:gridSpan w:val="3"/>
          </w:tcPr>
          <w:p>
            <w:pPr>
              <w:jc w:val="center"/>
              <w:ind w:left="154"/>
              <w:spacing w:after="0"/>
              <w:rPr>
                <w:sz w:val="20"/>
                <w:szCs w:val="20"/>
                <w:color w:val="auto"/>
              </w:rPr>
            </w:pPr>
            <w:r>
              <w:rPr>
                <w:rFonts w:ascii="Arial" w:cs="Arial" w:eastAsia="Arial" w:hAnsi="Arial"/>
                <w:sz w:val="17"/>
                <w:szCs w:val="17"/>
                <w:color w:val="0000FF"/>
                <w:w w:val="94"/>
              </w:rPr>
              <w:t>43</w:t>
            </w:r>
          </w:p>
        </w:tc>
        <w:tc>
          <w:tcPr>
            <w:tcW w:w="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450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0"/>
              </w:rPr>
              <w:t>Consolidated Balance Sheets at May 29, 2022 and May 30, 2021.</w:t>
            </w:r>
          </w:p>
        </w:tc>
        <w:tc>
          <w:tcPr>
            <w:tcW w:w="4620" w:type="dxa"/>
            <w:vAlign w:val="bottom"/>
            <w:gridSpan w:val="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94"/>
              </w:rPr>
              <w:t>46</w:t>
            </w:r>
          </w:p>
        </w:tc>
        <w:tc>
          <w:tcPr>
            <w:tcW w:w="80" w:type="dxa"/>
            <w:vAlign w:val="bottom"/>
          </w:tcPr>
          <w:p>
            <w:pPr>
              <w:spacing w:after="0"/>
              <w:rPr>
                <w:sz w:val="17"/>
                <w:szCs w:val="17"/>
                <w:color w:val="auto"/>
              </w:rPr>
            </w:pPr>
          </w:p>
        </w:tc>
      </w:tr>
      <w:tr>
        <w:trPr>
          <w:trHeight w:val="199"/>
        </w:trPr>
        <w:tc>
          <w:tcPr>
            <w:tcW w:w="720" w:type="dxa"/>
            <w:vAlign w:val="bottom"/>
          </w:tcPr>
          <w:p>
            <w:pPr>
              <w:spacing w:after="0"/>
              <w:rPr>
                <w:sz w:val="17"/>
                <w:szCs w:val="17"/>
                <w:color w:val="auto"/>
              </w:rPr>
            </w:pPr>
          </w:p>
        </w:tc>
        <w:tc>
          <w:tcPr>
            <w:tcW w:w="748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1"/>
              </w:rPr>
              <w:t>Consolidated Statements of Operations for the Years Ended May 29, 2022, May 30, 2021 and May 31, 2020.</w:t>
            </w:r>
          </w:p>
        </w:tc>
        <w:tc>
          <w:tcPr>
            <w:tcW w:w="1640" w:type="dxa"/>
            <w:vAlign w:val="bottom"/>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94"/>
              </w:rPr>
              <w:t>47</w:t>
            </w:r>
          </w:p>
        </w:tc>
        <w:tc>
          <w:tcPr>
            <w:tcW w:w="80" w:type="dxa"/>
            <w:vAlign w:val="bottom"/>
          </w:tcPr>
          <w:p>
            <w:pPr>
              <w:spacing w:after="0"/>
              <w:rPr>
                <w:sz w:val="17"/>
                <w:szCs w:val="17"/>
                <w:color w:val="auto"/>
              </w:rPr>
            </w:pPr>
          </w:p>
        </w:tc>
      </w:tr>
      <w:tr>
        <w:trPr>
          <w:trHeight w:val="199"/>
        </w:trPr>
        <w:tc>
          <w:tcPr>
            <w:tcW w:w="720" w:type="dxa"/>
            <w:vAlign w:val="bottom"/>
          </w:tcPr>
          <w:p>
            <w:pPr>
              <w:spacing w:after="0"/>
              <w:rPr>
                <w:sz w:val="17"/>
                <w:szCs w:val="17"/>
                <w:color w:val="auto"/>
              </w:rPr>
            </w:pPr>
          </w:p>
        </w:tc>
        <w:tc>
          <w:tcPr>
            <w:tcW w:w="88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1"/>
              </w:rPr>
              <w:t>Consolidated Statements of Comprehensive (Loss) Income for the Years Ended May 29, 2022, May 30, 2021 and May 31, 2020.</w:t>
            </w:r>
          </w:p>
        </w:tc>
        <w:tc>
          <w:tcPr>
            <w:tcW w:w="28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94"/>
              </w:rPr>
              <w:t>48</w:t>
            </w:r>
          </w:p>
        </w:tc>
        <w:tc>
          <w:tcPr>
            <w:tcW w:w="80" w:type="dxa"/>
            <w:vAlign w:val="bottom"/>
          </w:tcPr>
          <w:p>
            <w:pPr>
              <w:spacing w:after="0"/>
              <w:rPr>
                <w:sz w:val="17"/>
                <w:szCs w:val="17"/>
                <w:color w:val="auto"/>
              </w:rPr>
            </w:pPr>
          </w:p>
        </w:tc>
      </w:tr>
      <w:tr>
        <w:trPr>
          <w:trHeight w:val="199"/>
        </w:trPr>
        <w:tc>
          <w:tcPr>
            <w:tcW w:w="720" w:type="dxa"/>
            <w:vAlign w:val="bottom"/>
          </w:tcPr>
          <w:p>
            <w:pPr>
              <w:spacing w:after="0"/>
              <w:rPr>
                <w:sz w:val="17"/>
                <w:szCs w:val="17"/>
                <w:color w:val="auto"/>
              </w:rPr>
            </w:pPr>
          </w:p>
        </w:tc>
        <w:tc>
          <w:tcPr>
            <w:tcW w:w="896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1"/>
              </w:rPr>
              <w:t>Consolidated Statements of Changes in Stockholders' Equity for the Years Ended May 29, 2022, May 30, 2021 and May 31, 2020.</w:t>
            </w:r>
          </w:p>
        </w:tc>
        <w:tc>
          <w:tcPr>
            <w:tcW w:w="1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94"/>
              </w:rPr>
              <w:t>49</w:t>
            </w:r>
          </w:p>
        </w:tc>
        <w:tc>
          <w:tcPr>
            <w:tcW w:w="80" w:type="dxa"/>
            <w:vAlign w:val="bottom"/>
          </w:tcPr>
          <w:p>
            <w:pPr>
              <w:spacing w:after="0"/>
              <w:rPr>
                <w:sz w:val="17"/>
                <w:szCs w:val="17"/>
                <w:color w:val="auto"/>
              </w:rPr>
            </w:pPr>
          </w:p>
        </w:tc>
      </w:tr>
      <w:tr>
        <w:trPr>
          <w:trHeight w:val="199"/>
        </w:trPr>
        <w:tc>
          <w:tcPr>
            <w:tcW w:w="720" w:type="dxa"/>
            <w:vAlign w:val="bottom"/>
          </w:tcPr>
          <w:p>
            <w:pPr>
              <w:spacing w:after="0"/>
              <w:rPr>
                <w:sz w:val="17"/>
                <w:szCs w:val="17"/>
                <w:color w:val="auto"/>
              </w:rPr>
            </w:pPr>
          </w:p>
        </w:tc>
        <w:tc>
          <w:tcPr>
            <w:tcW w:w="9120" w:type="dxa"/>
            <w:vAlign w:val="bottom"/>
            <w:gridSpan w:val="8"/>
          </w:tcPr>
          <w:p>
            <w:pPr>
              <w:spacing w:after="0"/>
              <w:rPr>
                <w:sz w:val="20"/>
                <w:szCs w:val="20"/>
                <w:color w:val="auto"/>
              </w:rPr>
            </w:pPr>
            <w:r>
              <w:rPr>
                <w:rFonts w:ascii="Arial" w:cs="Arial" w:eastAsia="Arial" w:hAnsi="Arial"/>
                <w:sz w:val="17"/>
                <w:szCs w:val="17"/>
                <w:color w:val="0000FF"/>
              </w:rPr>
              <w:t>Consolidated Statements of Cash Flows for the Years Ended May 29, 2022, May 30, 2021 and May 31, 2020.</w:t>
            </w:r>
          </w:p>
        </w:tc>
        <w:tc>
          <w:tcPr>
            <w:tcW w:w="420" w:type="dxa"/>
            <w:vAlign w:val="bottom"/>
            <w:gridSpan w:val="3"/>
          </w:tcPr>
          <w:p>
            <w:pPr>
              <w:jc w:val="center"/>
              <w:ind w:left="154"/>
              <w:spacing w:after="0"/>
              <w:rPr>
                <w:sz w:val="20"/>
                <w:szCs w:val="20"/>
                <w:color w:val="auto"/>
              </w:rPr>
            </w:pPr>
            <w:r>
              <w:rPr>
                <w:rFonts w:ascii="Arial" w:cs="Arial" w:eastAsia="Arial" w:hAnsi="Arial"/>
                <w:sz w:val="17"/>
                <w:szCs w:val="17"/>
                <w:color w:val="0000FF"/>
                <w:w w:val="94"/>
              </w:rPr>
              <w:t>50</w:t>
            </w:r>
          </w:p>
        </w:tc>
        <w:tc>
          <w:tcPr>
            <w:tcW w:w="80" w:type="dxa"/>
            <w:vAlign w:val="bottom"/>
          </w:tcPr>
          <w:p>
            <w:pPr>
              <w:spacing w:after="0"/>
              <w:rPr>
                <w:sz w:val="17"/>
                <w:szCs w:val="17"/>
                <w:color w:val="auto"/>
              </w:rPr>
            </w:pPr>
          </w:p>
        </w:tc>
      </w:tr>
      <w:tr>
        <w:trPr>
          <w:trHeight w:val="199"/>
        </w:trPr>
        <w:tc>
          <w:tcPr>
            <w:tcW w:w="720" w:type="dxa"/>
            <w:vAlign w:val="bottom"/>
          </w:tcPr>
          <w:p>
            <w:pPr>
              <w:spacing w:after="0"/>
              <w:rPr>
                <w:sz w:val="17"/>
                <w:szCs w:val="17"/>
                <w:color w:val="auto"/>
              </w:rPr>
            </w:pPr>
          </w:p>
        </w:tc>
        <w:tc>
          <w:tcPr>
            <w:tcW w:w="752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Notes to Consolidated Financial Statements</w:t>
            </w:r>
          </w:p>
        </w:tc>
        <w:tc>
          <w:tcPr>
            <w:tcW w:w="1600" w:type="dxa"/>
            <w:vAlign w:val="bottom"/>
            <w:gridSpan w:val="3"/>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94"/>
              </w:rPr>
              <w:t>51</w:t>
            </w:r>
          </w:p>
        </w:tc>
        <w:tc>
          <w:tcPr>
            <w:tcW w:w="8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 schedules provided for in the applicable accounting regulations of the Securities and Exchange Commission have been omitted</w:t>
      </w:r>
    </w:p>
    <w:p>
      <w:pPr>
        <w:jc w:val="both"/>
        <w:ind w:left="720" w:right="480" w:hanging="326"/>
        <w:spacing w:after="0" w:line="182" w:lineRule="auto"/>
        <w:tabs>
          <w:tab w:leader="none" w:pos="720" w:val="left"/>
        </w:tabs>
        <w:numPr>
          <w:ilvl w:val="0"/>
          <w:numId w:val="20"/>
        </w:numPr>
        <w:rPr>
          <w:rFonts w:ascii="Arial" w:cs="Arial" w:eastAsia="Arial" w:hAnsi="Arial"/>
          <w:sz w:val="31"/>
          <w:szCs w:val="31"/>
          <w:color w:val="auto"/>
          <w:vertAlign w:val="subscript"/>
        </w:rPr>
      </w:pPr>
      <w:r>
        <w:rPr>
          <w:rFonts w:ascii="Arial" w:cs="Arial" w:eastAsia="Arial" w:hAnsi="Arial"/>
          <w:sz w:val="16"/>
          <w:szCs w:val="16"/>
          <w:color w:val="auto"/>
        </w:rPr>
        <w:t>since they pertain to items which do not appear in the financial statements of Landec Corporation and its subsidiaries or to items which are not significant or to items as to which the required disclosures have been made elsewhere in the financial statements and supplementary notes and such schedules.</w:t>
      </w:r>
    </w:p>
    <w:p>
      <w:pPr>
        <w:spacing w:after="0" w:line="40"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9640" w:type="dxa"/>
            <w:vAlign w:val="bottom"/>
            <w:gridSpan w:val="3"/>
          </w:tcPr>
          <w:p>
            <w:pPr>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color w:val="0000FF"/>
              </w:rPr>
              <w:t>Index of Exhibits</w:t>
            </w:r>
          </w:p>
        </w:tc>
        <w:tc>
          <w:tcPr>
            <w:tcW w:w="260" w:type="dxa"/>
            <w:vAlign w:val="bottom"/>
          </w:tcPr>
          <w:p>
            <w:pPr>
              <w:jc w:val="right"/>
              <w:spacing w:after="0"/>
              <w:rPr>
                <w:sz w:val="20"/>
                <w:szCs w:val="20"/>
                <w:color w:val="auto"/>
              </w:rPr>
            </w:pPr>
            <w:r>
              <w:rPr>
                <w:rFonts w:ascii="Arial" w:cs="Arial" w:eastAsia="Arial" w:hAnsi="Arial"/>
                <w:sz w:val="17"/>
                <w:szCs w:val="17"/>
                <w:color w:val="0000FF"/>
                <w:w w:val="84"/>
              </w:rPr>
              <w:t>103</w:t>
            </w:r>
          </w:p>
        </w:tc>
      </w:tr>
      <w:tr>
        <w:trPr>
          <w:trHeight w:val="20"/>
        </w:trPr>
        <w:tc>
          <w:tcPr>
            <w:tcW w:w="3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88"/>
        </w:trPr>
        <w:tc>
          <w:tcPr>
            <w:tcW w:w="3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7"/>
                <w:szCs w:val="17"/>
                <w:color w:val="auto"/>
              </w:rPr>
              <w:t>The exhibits listed in the accompanying Index of Exhibits are filed or incorporated by reference as part of this report.</w:t>
            </w:r>
          </w:p>
        </w:tc>
        <w:tc>
          <w:tcPr>
            <w:tcW w:w="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340"/>
          </w:cols>
          <w:pgMar w:left="320" w:top="295" w:right="1239" w:bottom="1440" w:gutter="0" w:footer="0" w:header="0"/>
        </w:sectPr>
      </w:pPr>
    </w:p>
    <w:bookmarkStart w:id="47" w:name="page48"/>
    <w:bookmarkEnd w:id="47"/>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680" w:firstLine="2679"/>
        <w:spacing w:after="0" w:line="466"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Board of Directors of Lifecore Biomedical, Inc. (formerly, Landec Corporation) </w:t>
      </w:r>
      <w:r>
        <w:rPr>
          <w:rFonts w:ascii="Arial" w:cs="Arial" w:eastAsia="Arial" w:hAnsi="Arial"/>
          <w:sz w:val="17"/>
          <w:szCs w:val="17"/>
          <w:b w:val="1"/>
          <w:bCs w:val="1"/>
          <w:color w:val="auto"/>
        </w:rPr>
        <w:t>Opinion on the Financial Statements</w:t>
      </w:r>
    </w:p>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have audited the accompanying consolidated balance sheets of Lifecore Biomedical, Inc. (formerly, Landec Corporation) (the Company) as of May 29, 2022 and May 30, 2021, and the related consolidated statements of operations, comprehensive (loss) income, stockholders' equity and cash flows for each of the three years in the period ended May 29, 2022, and the related notes (collectively referred to as the “consolidated financial statements”). In our opinion, the consolidated financial statements present fairly, in all material respects, the financial position of the Company at May 29, 2022 and May 30, 2021, and the results of its operations and its cash flows for each of the three years in the period ended May 29, 2022, in conformity with U.S. generally accepted accounting principles.</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May 29, 2022, based on criteria established in Internal Control-Integrated Framework issued by the Committee of Sponsoring Organizations of the Treadway Commission (2013 framework) and our report dated March 16, 2023 expressed an adverse opinion thereon.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Company's Ability to Continue as a Going Concern</w:t>
      </w:r>
    </w:p>
    <w:p>
      <w:pPr>
        <w:spacing w:after="0" w:line="197"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1 to the financial statements, the Company has suffered recurring losses from operations, has a working capital deficiency,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Restatement of 2022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As discussed in Note 1 to the consolidated financial statements, the May 29, 2022 consolidated financial statements have been restated to correct a misstatement.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8" w:name="page49"/>
    <w:bookmarkEnd w:id="48"/>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760"/>
        <w:spacing w:after="0"/>
        <w:rPr>
          <w:sz w:val="20"/>
          <w:szCs w:val="20"/>
          <w:color w:val="auto"/>
        </w:rPr>
      </w:pPr>
      <w:r>
        <w:rPr>
          <w:rFonts w:ascii="Arial" w:cs="Arial" w:eastAsia="Arial" w:hAnsi="Arial"/>
          <w:sz w:val="14"/>
          <w:szCs w:val="14"/>
          <w:b w:val="1"/>
          <w:bCs w:val="1"/>
          <w:i w:val="1"/>
          <w:iCs w:val="1"/>
          <w:color w:val="auto"/>
        </w:rPr>
        <w:t>Valuation of Yucatan Indefinite and Long-lived assets</w:t>
      </w:r>
    </w:p>
    <w:p>
      <w:pPr>
        <w:sectPr>
          <w:pgSz w:w="11900" w:h="16838" w:orient="portrait"/>
          <w:cols w:equalWidth="0" w:num="1">
            <w:col w:w="10660"/>
          </w:cols>
          <w:pgMar w:left="320" w:top="295" w:right="919" w:bottom="1440" w:gutter="0" w:footer="0" w:header="0"/>
        </w:sect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of</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the </w:t>
      </w:r>
      <w:r>
        <w:rPr>
          <w:rFonts w:ascii="Arial" w:cs="Arial" w:eastAsia="Arial" w:hAnsi="Arial"/>
          <w:sz w:val="16"/>
          <w:szCs w:val="16"/>
          <w:color w:val="auto"/>
        </w:rPr>
        <w:t>At May 29, 2022, the Company’s Yucatan reporting unit trademarks/tradenames with indefinite lives was $4.0 million and</w:t>
      </w:r>
    </w:p>
    <w:p>
      <w:pPr>
        <w:spacing w:after="0" w:line="33" w:lineRule="exact"/>
        <w:rPr>
          <w:sz w:val="20"/>
          <w:szCs w:val="20"/>
          <w:color w:val="auto"/>
        </w:rPr>
      </w:pPr>
    </w:p>
    <w:p>
      <w:pPr>
        <w:sectPr>
          <w:pgSz w:w="11900" w:h="16838" w:orient="portrait"/>
          <w:cols w:equalWidth="0" w:num="3">
            <w:col w:w="840" w:space="260"/>
            <w:col w:w="140" w:space="280"/>
            <w:col w:w="9140"/>
          </w:cols>
          <w:pgMar w:left="320" w:top="295" w:right="919" w:bottom="1440" w:gutter="0" w:footer="0" w:header="0"/>
          <w:type w:val="continuous"/>
        </w:sectPr>
      </w:pPr>
    </w:p>
    <w:p>
      <w:pPr>
        <w:ind w:left="20"/>
        <w:spacing w:after="0"/>
        <w:rPr>
          <w:sz w:val="20"/>
          <w:szCs w:val="20"/>
          <w:color w:val="auto"/>
        </w:rPr>
      </w:pPr>
      <w:r>
        <w:rPr>
          <w:rFonts w:ascii="Arial" w:cs="Arial" w:eastAsia="Arial" w:hAnsi="Arial"/>
          <w:sz w:val="16"/>
          <w:szCs w:val="16"/>
          <w:i w:val="1"/>
          <w:iCs w:val="1"/>
          <w:color w:val="auto"/>
        </w:rPr>
        <w:t>Matter</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15"/>
          <w:szCs w:val="15"/>
          <w:color w:val="auto"/>
        </w:rPr>
        <w:t>customer relationship intangible was $1.4 million. As discussed in Note 1 of the consolidated financial statements, indefinite-lived trademarks/tradenames are assessed by the Company’s management for impairment at least annually, in the fiscal fourth</w:t>
      </w:r>
    </w:p>
    <w:p>
      <w:pPr>
        <w:spacing w:after="0" w:line="1" w:lineRule="exact"/>
        <w:rPr>
          <w:sz w:val="20"/>
          <w:szCs w:val="20"/>
          <w:color w:val="auto"/>
        </w:rPr>
      </w:pPr>
    </w:p>
    <w:p>
      <w:pPr>
        <w:sectPr>
          <w:pgSz w:w="11900" w:h="16838" w:orient="portrait"/>
          <w:cols w:equalWidth="0" w:num="2">
            <w:col w:w="1040" w:space="720"/>
            <w:col w:w="8900"/>
          </w:cols>
          <w:pgMar w:left="320" w:top="295" w:right="919" w:bottom="1440" w:gutter="0" w:footer="0" w:header="0"/>
          <w:type w:val="continuous"/>
        </w:sectPr>
      </w:pPr>
    </w:p>
    <w:p>
      <w:pPr>
        <w:jc w:val="both"/>
        <w:ind w:left="1760"/>
        <w:spacing w:after="0" w:line="252" w:lineRule="auto"/>
        <w:rPr>
          <w:sz w:val="20"/>
          <w:szCs w:val="20"/>
          <w:color w:val="auto"/>
        </w:rPr>
      </w:pPr>
      <w:r>
        <w:rPr>
          <w:rFonts w:ascii="Arial" w:cs="Arial" w:eastAsia="Arial" w:hAnsi="Arial"/>
          <w:sz w:val="15"/>
          <w:szCs w:val="15"/>
          <w:color w:val="auto"/>
        </w:rPr>
        <w:t>quarter, unless there are indications of impairment at other points during the year, and customer relationships are reviewed for impairment whenever events or changes in circumstances indicate that their carrying amounts may not be recoverable. The Company measured the fair value of trademarks/tradenames using a royalty savings method. For the customer relationship</w:t>
      </w:r>
    </w:p>
    <w:p>
      <w:pPr>
        <w:spacing w:after="0" w:line="1" w:lineRule="exact"/>
        <w:rPr>
          <w:sz w:val="20"/>
          <w:szCs w:val="20"/>
          <w:color w:val="auto"/>
        </w:rPr>
      </w:pPr>
    </w:p>
    <w:p>
      <w:pPr>
        <w:jc w:val="both"/>
        <w:ind w:left="1760"/>
        <w:spacing w:after="0" w:line="257" w:lineRule="auto"/>
        <w:rPr>
          <w:sz w:val="20"/>
          <w:szCs w:val="20"/>
          <w:color w:val="auto"/>
        </w:rPr>
      </w:pPr>
      <w:r>
        <w:rPr>
          <w:rFonts w:ascii="Arial" w:cs="Arial" w:eastAsia="Arial" w:hAnsi="Arial"/>
          <w:sz w:val="15"/>
          <w:szCs w:val="15"/>
          <w:color w:val="auto"/>
        </w:rPr>
        <w:t>intangible, the Company measured the fair value using a multi-period excess earnings method. The Company determined that the trademarks/tradenames carrying value exceeded the fair value and thus recorded an impairment charge of $8.4 million. The Company determined the customer relationships carrying value exceeded the undiscounted future cash flows and the fair value</w:t>
      </w:r>
    </w:p>
    <w:p>
      <w:pPr>
        <w:ind w:left="1760"/>
        <w:spacing w:after="0" w:line="235" w:lineRule="auto"/>
        <w:rPr>
          <w:sz w:val="20"/>
          <w:szCs w:val="20"/>
          <w:color w:val="auto"/>
        </w:rPr>
      </w:pPr>
      <w:r>
        <w:rPr>
          <w:rFonts w:ascii="Arial" w:cs="Arial" w:eastAsia="Arial" w:hAnsi="Arial"/>
          <w:sz w:val="17"/>
          <w:szCs w:val="17"/>
          <w:color w:val="auto"/>
        </w:rPr>
        <w:t>and therefore the Company recorded an impairment charge of $5.8 million. The impairments are both related to the Yucatan reporting unit for the year ended May 29, 2022.</w:t>
      </w:r>
    </w:p>
    <w:p>
      <w:pPr>
        <w:spacing w:after="0" w:line="132" w:lineRule="exact"/>
        <w:rPr>
          <w:sz w:val="20"/>
          <w:szCs w:val="20"/>
          <w:color w:val="auto"/>
        </w:rPr>
      </w:pPr>
    </w:p>
    <w:p>
      <w:pPr>
        <w:ind w:left="1760"/>
        <w:spacing w:after="0" w:line="269" w:lineRule="auto"/>
        <w:rPr>
          <w:sz w:val="20"/>
          <w:szCs w:val="20"/>
          <w:color w:val="auto"/>
        </w:rPr>
      </w:pPr>
      <w:r>
        <w:rPr>
          <w:rFonts w:ascii="Arial" w:cs="Arial" w:eastAsia="Arial" w:hAnsi="Arial"/>
          <w:sz w:val="15"/>
          <w:szCs w:val="15"/>
          <w:color w:val="auto"/>
        </w:rPr>
        <w:t>Auditing the Company’s impairment tests related to the Yucatan trademarks/tradenames and customer relationships is complex and highly judgmental and required the involvement of our valuation specialist due to the significant judgment in estimating key</w:t>
      </w:r>
    </w:p>
    <w:p>
      <w:pPr>
        <w:spacing w:after="0" w:line="1" w:lineRule="exact"/>
        <w:rPr>
          <w:sz w:val="20"/>
          <w:szCs w:val="20"/>
          <w:color w:val="auto"/>
        </w:rPr>
      </w:pPr>
    </w:p>
    <w:p>
      <w:pPr>
        <w:ind w:left="1760"/>
        <w:spacing w:after="0" w:line="260" w:lineRule="auto"/>
        <w:rPr>
          <w:sz w:val="20"/>
          <w:szCs w:val="20"/>
          <w:color w:val="auto"/>
        </w:rPr>
      </w:pPr>
      <w:r>
        <w:rPr>
          <w:rFonts w:ascii="Arial" w:cs="Arial" w:eastAsia="Arial" w:hAnsi="Arial"/>
          <w:sz w:val="15"/>
          <w:szCs w:val="15"/>
          <w:color w:val="auto"/>
        </w:rPr>
        <w:t>assumptions used to determine their fair values. In particular, the fair value estimate of the Yucatan reporting unit’s trademarks/tradenames are sensitive to key assumptions related to the royalty rate and discount rate. The Yucatan reporting unit’s</w:t>
      </w:r>
    </w:p>
    <w:p>
      <w:pPr>
        <w:jc w:val="both"/>
        <w:ind w:left="1760"/>
        <w:spacing w:after="0" w:line="230" w:lineRule="auto"/>
        <w:rPr>
          <w:sz w:val="20"/>
          <w:szCs w:val="20"/>
          <w:color w:val="auto"/>
        </w:rPr>
      </w:pPr>
      <w:r>
        <w:rPr>
          <w:rFonts w:ascii="Arial" w:cs="Arial" w:eastAsia="Arial" w:hAnsi="Arial"/>
          <w:sz w:val="17"/>
          <w:szCs w:val="17"/>
          <w:color w:val="auto"/>
        </w:rPr>
        <w:t>customer relationships are sensitive to key assumptions related to the gross margin and discount rate. These key assumptions are sensitive to and affected by expected future market or economic conditions and industry and company-specific qualitative factors.</w:t>
      </w:r>
    </w:p>
    <w:p>
      <w:pPr>
        <w:sectPr>
          <w:pgSz w:w="11900" w:h="16838" w:orient="portrait"/>
          <w:cols w:equalWidth="0" w:num="1">
            <w:col w:w="10660"/>
          </w:cols>
          <w:pgMar w:left="320" w:top="295" w:right="919" w:bottom="1440" w:gutter="0" w:footer="0" w:header="0"/>
          <w:type w:val="continuous"/>
        </w:sectPr>
      </w:pPr>
    </w:p>
    <w:p>
      <w:pPr>
        <w:spacing w:after="0" w:line="274"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7"/>
          <w:szCs w:val="17"/>
          <w:i w:val="1"/>
          <w:iCs w:val="1"/>
          <w:color w:val="auto"/>
        </w:rPr>
        <w:t>How We Addressed the</w:t>
      </w:r>
      <w:r>
        <w:rPr>
          <w:sz w:val="20"/>
          <w:szCs w:val="20"/>
          <w:color w:val="auto"/>
        </w:rPr>
        <w:tab/>
      </w:r>
      <w:r>
        <w:rPr>
          <w:rFonts w:ascii="Arial" w:cs="Arial" w:eastAsia="Arial" w:hAnsi="Arial"/>
          <w:sz w:val="15"/>
          <w:szCs w:val="15"/>
          <w:color w:val="auto"/>
        </w:rPr>
        <w:t>To test the estimated fair value of the Yucatan trademarks/tradenames and customer relationships, we performed audit procedures</w:t>
      </w:r>
    </w:p>
    <w:p>
      <w:pPr>
        <w:jc w:val="both"/>
        <w:ind w:left="1760" w:hanging="1739"/>
        <w:spacing w:after="0" w:line="249" w:lineRule="auto"/>
        <w:tabs>
          <w:tab w:leader="none" w:pos="1740" w:val="left"/>
        </w:tabs>
        <w:rPr>
          <w:sz w:val="20"/>
          <w:szCs w:val="20"/>
          <w:color w:val="auto"/>
        </w:rPr>
      </w:pPr>
      <w:r>
        <w:rPr>
          <w:rFonts w:ascii="Arial" w:cs="Arial" w:eastAsia="Arial" w:hAnsi="Arial"/>
          <w:sz w:val="17"/>
          <w:szCs w:val="17"/>
          <w:i w:val="1"/>
          <w:iCs w:val="1"/>
          <w:color w:val="auto"/>
        </w:rPr>
        <w:t>Matter in Our Audit</w:t>
      </w:r>
      <w:r>
        <w:rPr>
          <w:sz w:val="20"/>
          <w:szCs w:val="20"/>
          <w:color w:val="auto"/>
        </w:rPr>
        <w:tab/>
      </w:r>
      <w:r>
        <w:rPr>
          <w:rFonts w:ascii="Arial" w:cs="Arial" w:eastAsia="Arial" w:hAnsi="Arial"/>
          <w:sz w:val="16"/>
          <w:szCs w:val="16"/>
          <w:color w:val="auto"/>
        </w:rPr>
        <w:t>that included, among others, assessing the methodologies, testing the key assumptions discussed above used to develop the estimates of future earnings and cash flows and testing the completeness and accuracy of the underlying data. We compared the key assumptions used by management to current industry and economic trends, and the Company’s historical results, and evaluated how changes in the Company’s business may affect the key assumptions. We assessed the historical accuracy of management’s estimates and performed sensitivity analyses of key assumptions to evaluate the change in the fair value of the Yucatan trademarks/tradenames and customer relationships resulting from changes in these assumptions. We involved our valuation specialists to assist in reviewing the valuation methodologies and certain key assumptions, including the royalty and discount rates. For trademarks/tradenames and customer relationships, where applicable, we also assessed whether the assumptions used were consistent with those used by the Company in other estimates.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2008.</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March 16, 2023</w:t>
      </w:r>
    </w:p>
    <w:p>
      <w:pPr>
        <w:spacing w:after="0" w:line="200" w:lineRule="exact"/>
        <w:rPr>
          <w:sz w:val="20"/>
          <w:szCs w:val="20"/>
          <w:color w:val="auto"/>
        </w:rPr>
      </w:pPr>
    </w:p>
    <w:p>
      <w:pPr>
        <w:spacing w:after="0" w:line="37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60"/>
          </w:cols>
          <w:pgMar w:left="320" w:top="295" w:right="919" w:bottom="1440" w:gutter="0" w:footer="0" w:header="0"/>
          <w:type w:val="continuous"/>
        </w:sectPr>
      </w:pPr>
    </w:p>
    <w:bookmarkStart w:id="49" w:name="page50"/>
    <w:bookmarkEnd w:id="49"/>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680" w:firstLine="2679"/>
        <w:spacing w:after="0" w:line="445"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the Board of Directors of Lifecore Biomedical, Inc. (formerly, Landec Corporation) </w:t>
      </w:r>
      <w:r>
        <w:rPr>
          <w:rFonts w:ascii="Arial" w:cs="Arial" w:eastAsia="Arial" w:hAnsi="Arial"/>
          <w:sz w:val="17"/>
          <w:szCs w:val="17"/>
          <w:b w:val="1"/>
          <w:bCs w:val="1"/>
          <w:color w:val="auto"/>
        </w:rPr>
        <w:t>Opinion on Internal Control over Financial Reporting</w:t>
      </w:r>
    </w:p>
    <w:p>
      <w:pPr>
        <w:spacing w:after="0" w:line="2"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have audited Lifecore Biomedical, Inc.’s (formerly, Landec Corporation) internal control over financial reporting as of May 29, 2022, based on criteria established in Internal Control – Integrated Framework issued by the Committee of Sponsoring Organizations of the Treadway Commission (2013 framework) (the COSO criteria). In our opinion, because of the effect of the material weaknesses described below on the achievement of the objectives of the control criteria, Lifecore Biomedical, Inc. (the Company) has not maintained effective internal control over financial reporting as of May 29, 2022, based on the COSO criteria.</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did not design and operate effective controls over the completeness and accuracy of accounting for non-standard transactions, which include discontinued operations and certain restructuring costs. Management also did not design and operate effective controls over the assessment of recoverability and measurement of fair value to record the proper amount of impairment for certain indefinite-lived and long-lived assets.</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May 29, 2022 and May 30, 2021, the related consolidated statements of operations, comprehensive (loss) income, stockholders’ equity and cash flows for each of the three years in the period ended May 29, 2022, and the related notes. These material weaknesses were considered in determining the nature, timing and extent of audit tests applied in our audit of the May 29, 2022 consolidated financial statements, and this report does not affect our report dated March 16, 2023 which expressed an unqualified opinion thereon.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March 16, 2023</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772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774"/>
        </w:trPr>
        <w:tc>
          <w:tcPr>
            <w:tcW w:w="62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500" w:type="dxa"/>
            <w:vAlign w:val="bottom"/>
          </w:tcPr>
          <w:p>
            <w:pPr>
              <w:jc w:val="center"/>
              <w:ind w:left="1134"/>
              <w:spacing w:after="0"/>
              <w:rPr>
                <w:sz w:val="20"/>
                <w:szCs w:val="20"/>
                <w:color w:val="auto"/>
              </w:rPr>
            </w:pPr>
            <w:r>
              <w:rPr>
                <w:rFonts w:ascii="Arial" w:cs="Arial" w:eastAsia="Arial" w:hAnsi="Arial"/>
                <w:sz w:val="17"/>
                <w:szCs w:val="17"/>
                <w:b w:val="1"/>
                <w:bCs w:val="1"/>
                <w:color w:val="auto"/>
              </w:rPr>
              <w:t>LIFECORE BIOMEDICAL, INC.</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6"/>
        </w:trPr>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500" w:type="dxa"/>
            <w:vAlign w:val="bottom"/>
          </w:tcPr>
          <w:p>
            <w:pPr>
              <w:jc w:val="center"/>
              <w:ind w:left="1134"/>
              <w:spacing w:after="0"/>
              <w:rPr>
                <w:sz w:val="20"/>
                <w:szCs w:val="20"/>
                <w:color w:val="auto"/>
              </w:rPr>
            </w:pPr>
            <w:r>
              <w:rPr>
                <w:rFonts w:ascii="Arial" w:cs="Arial" w:eastAsia="Arial" w:hAnsi="Arial"/>
                <w:sz w:val="17"/>
                <w:szCs w:val="17"/>
                <w:b w:val="1"/>
                <w:bCs w:val="1"/>
                <w:color w:val="auto"/>
                <w:w w:val="99"/>
              </w:rPr>
              <w:t>CONSOLIDATED BALANCE SHEETS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3"/>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500" w:type="dxa"/>
            <w:vAlign w:val="bottom"/>
          </w:tcPr>
          <w:p>
            <w:pPr>
              <w:jc w:val="center"/>
              <w:ind w:left="1134"/>
              <w:spacing w:after="0"/>
              <w:rPr>
                <w:sz w:val="20"/>
                <w:szCs w:val="20"/>
                <w:color w:val="auto"/>
              </w:rPr>
            </w:pPr>
            <w:r>
              <w:rPr>
                <w:rFonts w:ascii="Arial" w:cs="Arial" w:eastAsia="Arial" w:hAnsi="Arial"/>
                <w:sz w:val="17"/>
                <w:szCs w:val="17"/>
                <w:b w:val="1"/>
                <w:bCs w:val="1"/>
                <w:color w:val="auto"/>
                <w:w w:val="90"/>
              </w:rPr>
              <w:t>(In thousands, except par value)</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5"/>
        </w:trPr>
        <w:tc>
          <w:tcPr>
            <w:tcW w:w="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7"/>
                <w:szCs w:val="17"/>
                <w:i w:val="1"/>
                <w:iCs w:val="1"/>
                <w:color w:val="auto"/>
                <w:w w:val="88"/>
              </w:rPr>
              <w:t>As restated</w:t>
            </w:r>
          </w:p>
        </w:tc>
        <w:tc>
          <w:tcPr>
            <w:tcW w:w="160" w:type="dxa"/>
            <w:vAlign w:val="bottom"/>
          </w:tcPr>
          <w:p>
            <w:pPr>
              <w:spacing w:after="0"/>
              <w:rPr>
                <w:sz w:val="21"/>
                <w:szCs w:val="21"/>
                <w:color w:val="auto"/>
              </w:rPr>
            </w:pPr>
          </w:p>
        </w:tc>
        <w:tc>
          <w:tcPr>
            <w:tcW w:w="1240" w:type="dxa"/>
            <w:vAlign w:val="bottom"/>
          </w:tcPr>
          <w:p>
            <w:pPr>
              <w:jc w:val="right"/>
              <w:ind w:right="234"/>
              <w:spacing w:after="0"/>
              <w:rPr>
                <w:sz w:val="20"/>
                <w:szCs w:val="20"/>
                <w:color w:val="auto"/>
              </w:rPr>
            </w:pPr>
            <w:r>
              <w:rPr>
                <w:rFonts w:ascii="Arial" w:cs="Arial" w:eastAsia="Arial" w:hAnsi="Arial"/>
                <w:sz w:val="17"/>
                <w:szCs w:val="17"/>
                <w:i w:val="1"/>
                <w:iCs w:val="1"/>
                <w:color w:val="auto"/>
              </w:rPr>
              <w:t>As restated</w:t>
            </w:r>
          </w:p>
        </w:tc>
      </w:tr>
      <w:tr>
        <w:trPr>
          <w:trHeight w:val="220"/>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May 29, 2022</w:t>
            </w:r>
          </w:p>
        </w:tc>
        <w:tc>
          <w:tcPr>
            <w:tcW w:w="1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30, 2021</w:t>
            </w:r>
          </w:p>
        </w:tc>
      </w:tr>
      <w:tr>
        <w:trPr>
          <w:trHeight w:val="213"/>
        </w:trPr>
        <w:tc>
          <w:tcPr>
            <w:tcW w:w="83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8"/>
        </w:trPr>
        <w:tc>
          <w:tcPr>
            <w:tcW w:w="8340" w:type="dxa"/>
            <w:vAlign w:val="bottom"/>
            <w:gridSpan w:val="3"/>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w:t>
            </w:r>
          </w:p>
        </w:tc>
      </w:tr>
      <w:tr>
        <w:trPr>
          <w:trHeight w:val="218"/>
        </w:trPr>
        <w:tc>
          <w:tcPr>
            <w:tcW w:w="8340" w:type="dxa"/>
            <w:vAlign w:val="bottom"/>
            <w:gridSpan w:val="3"/>
          </w:tcPr>
          <w:p>
            <w:pPr>
              <w:ind w:left="140"/>
              <w:spacing w:after="0"/>
              <w:rPr>
                <w:sz w:val="20"/>
                <w:szCs w:val="20"/>
                <w:color w:val="auto"/>
              </w:rPr>
            </w:pPr>
            <w:r>
              <w:rPr>
                <w:rFonts w:ascii="Arial" w:cs="Arial" w:eastAsia="Arial" w:hAnsi="Arial"/>
                <w:sz w:val="17"/>
                <w:szCs w:val="17"/>
                <w:color w:val="auto"/>
              </w:rPr>
              <w:t>Accounts receivable, less allowance for credit losses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48,172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41,430</w:t>
            </w:r>
          </w:p>
        </w:tc>
      </w:tr>
      <w:tr>
        <w:trPr>
          <w:trHeight w:val="220"/>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63,076</w:t>
            </w:r>
          </w:p>
        </w:tc>
      </w:tr>
      <w:tr>
        <w:trPr>
          <w:trHeight w:val="218"/>
        </w:trPr>
        <w:tc>
          <w:tcPr>
            <w:tcW w:w="8340" w:type="dxa"/>
            <w:vAlign w:val="bottom"/>
            <w:gridSpan w:val="3"/>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7,052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5,038</w:t>
            </w:r>
          </w:p>
        </w:tc>
      </w:tr>
      <w:tr>
        <w:trPr>
          <w:trHeight w:val="220"/>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Current assets, discontinued operations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37,618</w:t>
            </w:r>
          </w:p>
        </w:tc>
      </w:tr>
      <w:tr>
        <w:trPr>
          <w:trHeight w:val="211"/>
        </w:trPr>
        <w:tc>
          <w:tcPr>
            <w:tcW w:w="8340" w:type="dxa"/>
            <w:vAlign w:val="bottom"/>
            <w:gridSpan w:val="3"/>
          </w:tcPr>
          <w:p>
            <w:pPr>
              <w:ind w:left="320"/>
              <w:spacing w:after="0"/>
              <w:rPr>
                <w:sz w:val="20"/>
                <w:szCs w:val="20"/>
                <w:color w:val="auto"/>
              </w:rPr>
            </w:pPr>
            <w:r>
              <w:rPr>
                <w:rFonts w:ascii="Arial" w:cs="Arial" w:eastAsia="Arial" w:hAnsi="Arial"/>
                <w:sz w:val="17"/>
                <w:szCs w:val="17"/>
                <w:color w:val="auto"/>
              </w:rPr>
              <w:t>Total Current Assets</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123,712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148,321</w:t>
            </w:r>
          </w:p>
        </w:tc>
      </w:tr>
      <w:tr>
        <w:trPr>
          <w:trHeight w:val="143"/>
        </w:trPr>
        <w:tc>
          <w:tcPr>
            <w:tcW w:w="8340" w:type="dxa"/>
            <w:vAlign w:val="bottom"/>
            <w:gridSpan w:val="3"/>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18"/>
        </w:trPr>
        <w:tc>
          <w:tcPr>
            <w:tcW w:w="8340" w:type="dxa"/>
            <w:vAlign w:val="bottom"/>
            <w:gridSpan w:val="3"/>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118,531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120,286</w:t>
            </w:r>
          </w:p>
        </w:tc>
      </w:tr>
      <w:tr>
        <w:trPr>
          <w:trHeight w:val="220"/>
        </w:trPr>
        <w:tc>
          <w:tcPr>
            <w:tcW w:w="8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17,098</w:t>
            </w:r>
          </w:p>
        </w:tc>
      </w:tr>
      <w:tr>
        <w:trPr>
          <w:trHeight w:val="218"/>
        </w:trPr>
        <w:tc>
          <w:tcPr>
            <w:tcW w:w="8340" w:type="dxa"/>
            <w:vAlign w:val="bottom"/>
            <w:gridSpan w:val="3"/>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13,881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33,916</w:t>
            </w:r>
          </w:p>
        </w:tc>
      </w:tr>
      <w:tr>
        <w:trPr>
          <w:trHeight w:val="220"/>
        </w:trPr>
        <w:tc>
          <w:tcPr>
            <w:tcW w:w="8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Trademarks/tradenames, net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17,100</w:t>
            </w:r>
          </w:p>
        </w:tc>
      </w:tr>
      <w:tr>
        <w:trPr>
          <w:trHeight w:val="218"/>
        </w:trPr>
        <w:tc>
          <w:tcPr>
            <w:tcW w:w="8340" w:type="dxa"/>
            <w:vAlign w:val="bottom"/>
            <w:gridSpan w:val="3"/>
          </w:tcPr>
          <w:p>
            <w:pPr>
              <w:ind w:left="20"/>
              <w:spacing w:after="0"/>
              <w:rPr>
                <w:sz w:val="20"/>
                <w:szCs w:val="20"/>
                <w:color w:val="auto"/>
              </w:rPr>
            </w:pPr>
            <w:r>
              <w:rPr>
                <w:rFonts w:ascii="Arial" w:cs="Arial" w:eastAsia="Arial" w:hAnsi="Arial"/>
                <w:sz w:val="17"/>
                <w:szCs w:val="17"/>
                <w:color w:val="auto"/>
              </w:rPr>
              <w:t>Customer relationships, net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8,532</w:t>
            </w:r>
          </w:p>
        </w:tc>
      </w:tr>
      <w:tr>
        <w:trPr>
          <w:trHeight w:val="220"/>
        </w:trPr>
        <w:tc>
          <w:tcPr>
            <w:tcW w:w="8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3,531</w:t>
            </w:r>
          </w:p>
        </w:tc>
      </w:tr>
      <w:tr>
        <w:trPr>
          <w:trHeight w:val="218"/>
        </w:trPr>
        <w:tc>
          <w:tcPr>
            <w:tcW w:w="8340" w:type="dxa"/>
            <w:vAlign w:val="bottom"/>
            <w:gridSpan w:val="3"/>
          </w:tcPr>
          <w:p>
            <w:pPr>
              <w:ind w:left="20"/>
              <w:spacing w:after="0"/>
              <w:rPr>
                <w:sz w:val="20"/>
                <w:szCs w:val="20"/>
                <w:color w:val="auto"/>
              </w:rPr>
            </w:pPr>
            <w:r>
              <w:rPr>
                <w:rFonts w:ascii="Arial" w:cs="Arial" w:eastAsia="Arial" w:hAnsi="Arial"/>
                <w:sz w:val="17"/>
                <w:szCs w:val="17"/>
                <w:color w:val="auto"/>
              </w:rPr>
              <w:t>Other assets, discontinued operations</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154,140</w:t>
            </w:r>
          </w:p>
        </w:tc>
      </w:tr>
      <w:tr>
        <w:trPr>
          <w:trHeight w:val="238"/>
        </w:trPr>
        <w:tc>
          <w:tcPr>
            <w:tcW w:w="8340" w:type="dxa"/>
            <w:vAlign w:val="bottom"/>
            <w:tcBorders>
              <w:top w:val="single" w:sz="8" w:color="CCEEFF"/>
              <w:bottom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277,806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502,924</w:t>
            </w:r>
          </w:p>
        </w:tc>
      </w:tr>
      <w:tr>
        <w:trPr>
          <w:trHeight w:val="20"/>
        </w:trPr>
        <w:tc>
          <w:tcPr>
            <w:tcW w:w="834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88"/>
        </w:trPr>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19"/>
        </w:trPr>
        <w:tc>
          <w:tcPr>
            <w:tcW w:w="83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8"/>
        </w:trPr>
        <w:tc>
          <w:tcPr>
            <w:tcW w:w="8340" w:type="dxa"/>
            <w:vAlign w:val="bottom"/>
            <w:gridSpan w:val="3"/>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16,298</w:t>
            </w:r>
          </w:p>
        </w:tc>
      </w:tr>
      <w:tr>
        <w:trPr>
          <w:trHeight w:val="218"/>
        </w:trPr>
        <w:tc>
          <w:tcPr>
            <w:tcW w:w="8340" w:type="dxa"/>
            <w:vAlign w:val="bottom"/>
            <w:gridSpan w:val="3"/>
          </w:tcPr>
          <w:p>
            <w:pPr>
              <w:ind w:left="140"/>
              <w:spacing w:after="0"/>
              <w:rPr>
                <w:sz w:val="20"/>
                <w:szCs w:val="20"/>
                <w:color w:val="auto"/>
              </w:rPr>
            </w:pPr>
            <w:r>
              <w:rPr>
                <w:rFonts w:ascii="Arial" w:cs="Arial" w:eastAsia="Arial" w:hAnsi="Arial"/>
                <w:sz w:val="17"/>
                <w:szCs w:val="17"/>
                <w:color w:val="auto"/>
              </w:rPr>
              <w:t>Accrued compensation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9,238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7,754</w:t>
            </w:r>
          </w:p>
        </w:tc>
      </w:tr>
      <w:tr>
        <w:trPr>
          <w:trHeight w:val="220"/>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Other accrued liabilities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3,955</w:t>
            </w:r>
          </w:p>
        </w:tc>
      </w:tr>
      <w:tr>
        <w:trPr>
          <w:trHeight w:val="218"/>
        </w:trPr>
        <w:tc>
          <w:tcPr>
            <w:tcW w:w="8340" w:type="dxa"/>
            <w:vAlign w:val="bottom"/>
            <w:gridSpan w:val="3"/>
          </w:tcPr>
          <w:p>
            <w:pPr>
              <w:ind w:left="140"/>
              <w:spacing w:after="0"/>
              <w:rPr>
                <w:sz w:val="20"/>
                <w:szCs w:val="20"/>
                <w:color w:val="auto"/>
              </w:rPr>
            </w:pPr>
            <w:r>
              <w:rPr>
                <w:rFonts w:ascii="Arial" w:cs="Arial" w:eastAsia="Arial" w:hAnsi="Arial"/>
                <w:sz w:val="17"/>
                <w:szCs w:val="17"/>
                <w:color w:val="auto"/>
              </w:rPr>
              <w:t>Current portion of lease liabilities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1,600</w:t>
            </w:r>
          </w:p>
        </w:tc>
      </w:tr>
      <w:tr>
        <w:trPr>
          <w:trHeight w:val="220"/>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w:t>
            </w:r>
          </w:p>
        </w:tc>
      </w:tr>
      <w:tr>
        <w:trPr>
          <w:trHeight w:val="218"/>
        </w:trPr>
        <w:tc>
          <w:tcPr>
            <w:tcW w:w="8340" w:type="dxa"/>
            <w:vAlign w:val="bottom"/>
            <w:gridSpan w:val="3"/>
          </w:tcPr>
          <w:p>
            <w:pPr>
              <w:ind w:left="140"/>
              <w:spacing w:after="0"/>
              <w:rPr>
                <w:sz w:val="20"/>
                <w:szCs w:val="20"/>
                <w:color w:val="auto"/>
              </w:rPr>
            </w:pPr>
            <w:r>
              <w:rPr>
                <w:rFonts w:ascii="Arial" w:cs="Arial" w:eastAsia="Arial" w:hAnsi="Arial"/>
                <w:sz w:val="17"/>
                <w:szCs w:val="17"/>
                <w:color w:val="auto"/>
              </w:rPr>
              <w:t>Line of credit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29,000</w:t>
            </w:r>
          </w:p>
        </w:tc>
      </w:tr>
      <w:tr>
        <w:trPr>
          <w:trHeight w:val="220"/>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Current portion of long-term debt, net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40" w:type="dxa"/>
            <w:vAlign w:val="bottom"/>
            <w:gridSpan w:val="3"/>
          </w:tcPr>
          <w:p>
            <w:pPr>
              <w:ind w:left="140"/>
              <w:spacing w:after="0"/>
              <w:rPr>
                <w:sz w:val="20"/>
                <w:szCs w:val="20"/>
                <w:color w:val="auto"/>
              </w:rPr>
            </w:pPr>
            <w:r>
              <w:rPr>
                <w:rFonts w:ascii="Arial" w:cs="Arial" w:eastAsia="Arial" w:hAnsi="Arial"/>
                <w:sz w:val="17"/>
                <w:szCs w:val="17"/>
                <w:color w:val="auto"/>
              </w:rPr>
              <w:t>Current liabilities, discontinued operations</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42,644</w:t>
            </w:r>
          </w:p>
        </w:tc>
      </w:tr>
      <w:tr>
        <w:trPr>
          <w:trHeight w:val="213"/>
        </w:trPr>
        <w:tc>
          <w:tcPr>
            <w:tcW w:w="834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176,810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101,888</w:t>
            </w:r>
          </w:p>
        </w:tc>
      </w:tr>
      <w:tr>
        <w:trPr>
          <w:trHeight w:val="142"/>
        </w:trPr>
        <w:tc>
          <w:tcPr>
            <w:tcW w:w="834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19"/>
        </w:trPr>
        <w:tc>
          <w:tcPr>
            <w:tcW w:w="8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Long-term debt, net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164,902</w:t>
            </w:r>
          </w:p>
        </w:tc>
      </w:tr>
      <w:tr>
        <w:trPr>
          <w:trHeight w:val="218"/>
        </w:trPr>
        <w:tc>
          <w:tcPr>
            <w:tcW w:w="8340" w:type="dxa"/>
            <w:vAlign w:val="bottom"/>
            <w:gridSpan w:val="3"/>
          </w:tcPr>
          <w:p>
            <w:pPr>
              <w:ind w:left="20"/>
              <w:spacing w:after="0"/>
              <w:rPr>
                <w:sz w:val="20"/>
                <w:szCs w:val="20"/>
                <w:color w:val="auto"/>
              </w:rPr>
            </w:pPr>
            <w:r>
              <w:rPr>
                <w:rFonts w:ascii="Arial" w:cs="Arial" w:eastAsia="Arial" w:hAnsi="Arial"/>
                <w:sz w:val="17"/>
                <w:szCs w:val="17"/>
                <w:color w:val="auto"/>
              </w:rPr>
              <w:t>Long-term lease liabilities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9,983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20,359</w:t>
            </w:r>
          </w:p>
        </w:tc>
      </w:tr>
      <w:tr>
        <w:trPr>
          <w:trHeight w:val="220"/>
        </w:trPr>
        <w:tc>
          <w:tcPr>
            <w:tcW w:w="8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Deferred taxes, net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6,140</w:t>
            </w:r>
          </w:p>
        </w:tc>
      </w:tr>
      <w:tr>
        <w:trPr>
          <w:trHeight w:val="218"/>
        </w:trPr>
        <w:tc>
          <w:tcPr>
            <w:tcW w:w="8340" w:type="dxa"/>
            <w:vAlign w:val="bottom"/>
            <w:gridSpan w:val="3"/>
          </w:tcPr>
          <w:p>
            <w:pPr>
              <w:ind w:left="20"/>
              <w:spacing w:after="0"/>
              <w:rPr>
                <w:sz w:val="20"/>
                <w:szCs w:val="20"/>
                <w:color w:val="auto"/>
              </w:rPr>
            </w:pPr>
            <w:r>
              <w:rPr>
                <w:rFonts w:ascii="Arial" w:cs="Arial" w:eastAsia="Arial" w:hAnsi="Arial"/>
                <w:sz w:val="17"/>
                <w:szCs w:val="17"/>
                <w:color w:val="auto"/>
              </w:rPr>
              <w:t>Other non-current liabilities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2,870</w:t>
            </w:r>
          </w:p>
        </w:tc>
      </w:tr>
      <w:tr>
        <w:trPr>
          <w:trHeight w:val="220"/>
        </w:trPr>
        <w:tc>
          <w:tcPr>
            <w:tcW w:w="8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Non-current liabilities, discontinued operations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3,981</w:t>
            </w:r>
          </w:p>
        </w:tc>
      </w:tr>
      <w:tr>
        <w:trPr>
          <w:trHeight w:val="211"/>
        </w:trPr>
        <w:tc>
          <w:tcPr>
            <w:tcW w:w="8340" w:type="dxa"/>
            <w:vAlign w:val="bottom"/>
            <w:gridSpan w:val="3"/>
          </w:tcPr>
          <w:p>
            <w:pPr>
              <w:ind w:left="320"/>
              <w:spacing w:after="0"/>
              <w:rPr>
                <w:sz w:val="20"/>
                <w:szCs w:val="20"/>
                <w:color w:val="auto"/>
              </w:rPr>
            </w:pPr>
            <w:r>
              <w:rPr>
                <w:rFonts w:ascii="Arial" w:cs="Arial" w:eastAsia="Arial" w:hAnsi="Arial"/>
                <w:sz w:val="17"/>
                <w:szCs w:val="17"/>
                <w:color w:val="auto"/>
              </w:rPr>
              <w:t>Total Liabilities</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187,109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300,140</w:t>
            </w:r>
          </w:p>
        </w:tc>
      </w:tr>
      <w:tr>
        <w:trPr>
          <w:trHeight w:val="91"/>
        </w:trPr>
        <w:tc>
          <w:tcPr>
            <w:tcW w:w="8340" w:type="dxa"/>
            <w:vAlign w:val="bottom"/>
            <w:gridSpan w:val="3"/>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r>
      <w:tr>
        <w:trPr>
          <w:trHeight w:val="218"/>
        </w:trPr>
        <w:tc>
          <w:tcPr>
            <w:tcW w:w="8340" w:type="dxa"/>
            <w:vAlign w:val="bottom"/>
            <w:gridSpan w:val="3"/>
          </w:tcPr>
          <w:p>
            <w:pPr>
              <w:ind w:left="20"/>
              <w:spacing w:after="0"/>
              <w:rPr>
                <w:sz w:val="20"/>
                <w:szCs w:val="20"/>
                <w:color w:val="auto"/>
              </w:rPr>
            </w:pPr>
            <w:r>
              <w:rPr>
                <w:rFonts w:ascii="Arial" w:cs="Arial" w:eastAsia="Arial" w:hAnsi="Arial"/>
                <w:sz w:val="17"/>
                <w:szCs w:val="17"/>
                <w:color w:val="auto"/>
              </w:rPr>
              <w:t>Stockholders’ Equity:</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2"/>
        </w:trPr>
        <w:tc>
          <w:tcPr>
            <w:tcW w:w="8340" w:type="dxa"/>
            <w:vAlign w:val="bottom"/>
            <w:gridSpan w:val="3"/>
            <w:shd w:val="clear" w:color="auto" w:fill="CCEEFF"/>
          </w:tcPr>
          <w:p>
            <w:pPr>
              <w:ind w:left="140"/>
              <w:spacing w:after="0" w:line="182" w:lineRule="exact"/>
              <w:rPr>
                <w:sz w:val="20"/>
                <w:szCs w:val="20"/>
                <w:color w:val="auto"/>
              </w:rPr>
            </w:pPr>
            <w:r>
              <w:rPr>
                <w:rFonts w:ascii="Arial" w:cs="Arial" w:eastAsia="Arial" w:hAnsi="Arial"/>
                <w:sz w:val="17"/>
                <w:szCs w:val="17"/>
                <w:color w:val="auto"/>
                <w:w w:val="91"/>
              </w:rPr>
              <w:t>Common stock, $0.001 par value; 50,000 shares authorized; 29,513 and 29,333 shares issued and outstanding at May</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9"/>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29, 2022 and May 30, 2021, respectively</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18"/>
        </w:trPr>
        <w:tc>
          <w:tcPr>
            <w:tcW w:w="8340" w:type="dxa"/>
            <w:vAlign w:val="bottom"/>
            <w:gridSpan w:val="3"/>
          </w:tcPr>
          <w:p>
            <w:pPr>
              <w:ind w:left="14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167,352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165,533</w:t>
            </w:r>
          </w:p>
        </w:tc>
      </w:tr>
      <w:tr>
        <w:trPr>
          <w:trHeight w:val="220"/>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Retained earnings (accumulated deficit)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38,580</w:t>
            </w:r>
          </w:p>
        </w:tc>
      </w:tr>
      <w:tr>
        <w:trPr>
          <w:trHeight w:val="218"/>
        </w:trPr>
        <w:tc>
          <w:tcPr>
            <w:tcW w:w="834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(1,358)</w:t>
            </w:r>
          </w:p>
        </w:tc>
      </w:tr>
      <w:tr>
        <w:trPr>
          <w:trHeight w:val="212"/>
        </w:trPr>
        <w:tc>
          <w:tcPr>
            <w:tcW w:w="83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90,697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202,784</w:t>
            </w:r>
          </w:p>
        </w:tc>
      </w:tr>
      <w:tr>
        <w:trPr>
          <w:trHeight w:val="213"/>
        </w:trPr>
        <w:tc>
          <w:tcPr>
            <w:tcW w:w="8340" w:type="dxa"/>
            <w:vAlign w:val="bottom"/>
            <w:gridSpan w:val="3"/>
          </w:tcPr>
          <w:p>
            <w:pPr>
              <w:ind w:left="320"/>
              <w:spacing w:after="0"/>
              <w:rPr>
                <w:sz w:val="20"/>
                <w:szCs w:val="20"/>
                <w:color w:val="auto"/>
              </w:rPr>
            </w:pPr>
            <w:r>
              <w:rPr>
                <w:rFonts w:ascii="Arial" w:cs="Arial" w:eastAsia="Arial" w:hAnsi="Arial"/>
                <w:sz w:val="17"/>
                <w:szCs w:val="17"/>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277,806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502,924</w:t>
            </w:r>
          </w:p>
        </w:tc>
      </w:tr>
      <w:tr>
        <w:trPr>
          <w:trHeight w:val="20"/>
        </w:trPr>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1" w:name="page52"/>
    <w:bookmarkEnd w:id="51"/>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LIFECORE BIOMEDICAL, INC.</w:t>
      </w:r>
    </w:p>
    <w:p>
      <w:pPr>
        <w:spacing w:after="0" w:line="28"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89"/>
              </w:rPr>
              <w:t>Year Ended</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1"/>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i w:val="1"/>
                <w:iCs w:val="1"/>
                <w:color w:val="auto"/>
                <w:w w:val="88"/>
              </w:rPr>
              <w:t>As restated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May 29, 2022</w:t>
            </w:r>
          </w:p>
        </w:tc>
        <w:tc>
          <w:tcPr>
            <w:tcW w:w="16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May 30, 2021</w:t>
            </w:r>
          </w:p>
        </w:tc>
        <w:tc>
          <w:tcPr>
            <w:tcW w:w="1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31, 2020</w:t>
            </w:r>
          </w:p>
        </w:tc>
      </w:tr>
      <w:tr>
        <w:trPr>
          <w:trHeight w:val="21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Product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185,786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171,546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160,066</w:t>
            </w:r>
          </w:p>
        </w:tc>
      </w:tr>
      <w:tr>
        <w:trPr>
          <w:trHeight w:val="21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product sales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135,416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121,075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120,679</w:t>
            </w: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39,387</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Operating costs and expenses: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7,582</w:t>
            </w:r>
          </w:p>
        </w:tc>
      </w:tr>
      <w:tr>
        <w:trPr>
          <w:trHeight w:val="218"/>
        </w:trPr>
        <w:tc>
          <w:tcPr>
            <w:tcW w:w="6820" w:type="dxa"/>
            <w:vAlign w:val="bottom"/>
          </w:tcPr>
          <w:p>
            <w:pPr>
              <w:ind w:left="14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46,127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37,660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40,674</w:t>
            </w:r>
          </w:p>
        </w:tc>
      </w:tr>
      <w:tr>
        <w:trPr>
          <w:trHeight w:val="220"/>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Impairment of goodwill and long-lived and indefinite-lived assets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12,953</w:t>
            </w:r>
          </w:p>
        </w:tc>
      </w:tr>
      <w:tr>
        <w:trPr>
          <w:trHeight w:val="218"/>
        </w:trPr>
        <w:tc>
          <w:tcPr>
            <w:tcW w:w="6820" w:type="dxa"/>
            <w:vAlign w:val="bottom"/>
          </w:tcPr>
          <w:p>
            <w:pPr>
              <w:ind w:left="140"/>
              <w:spacing w:after="0"/>
              <w:rPr>
                <w:sz w:val="20"/>
                <w:szCs w:val="20"/>
                <w:color w:val="auto"/>
              </w:rPr>
            </w:pPr>
            <w:r>
              <w:rPr>
                <w:rFonts w:ascii="Arial" w:cs="Arial" w:eastAsia="Arial" w:hAnsi="Arial"/>
                <w:sz w:val="17"/>
                <w:szCs w:val="17"/>
                <w:color w:val="auto"/>
              </w:rPr>
              <w:t>Legal settlement charge</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Restructuring costs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4,054</w:t>
            </w:r>
          </w:p>
        </w:tc>
      </w:tr>
      <w:tr>
        <w:trPr>
          <w:trHeight w:val="211"/>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costs and expenses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109,018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65,263</w:t>
            </w: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(25,876)</w:t>
            </w:r>
          </w:p>
        </w:tc>
      </w:tr>
      <w:tr>
        <w:trPr>
          <w:trHeight w:val="245"/>
        </w:trPr>
        <w:tc>
          <w:tcPr>
            <w:tcW w:w="6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(17,357)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(10,387)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(4,646)</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Transition services income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Loss on debt refinancing</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r>
      <w:tr>
        <w:trPr>
          <w:trHeight w:val="211"/>
        </w:trPr>
        <w:tc>
          <w:tcPr>
            <w:tcW w:w="6820" w:type="dxa"/>
            <w:vAlign w:val="bottom"/>
          </w:tcPr>
          <w:p>
            <w:pPr>
              <w:ind w:left="20"/>
              <w:spacing w:after="0"/>
              <w:rPr>
                <w:sz w:val="20"/>
                <w:szCs w:val="20"/>
                <w:color w:val="auto"/>
              </w:rPr>
            </w:pPr>
            <w:r>
              <w:rPr>
                <w:rFonts w:ascii="Arial" w:cs="Arial" w:eastAsia="Arial" w:hAnsi="Arial"/>
                <w:sz w:val="17"/>
                <w:szCs w:val="17"/>
                <w:color w:val="auto"/>
              </w:rPr>
              <w:t>Net loss from continuing operations before taxes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(69,469)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(11,472)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(30,645)</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8,774</w:t>
            </w: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color w:val="auto"/>
              </w:rPr>
              <w:t>Net loss from continuing operations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(63,524)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(9,569)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(21,871)</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Discontinued operations: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from discontinued operations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(20,662)</w:t>
            </w:r>
          </w:p>
        </w:tc>
      </w:tr>
      <w:tr>
        <w:trPr>
          <w:trHeight w:val="218"/>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Income tax benefit</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4,342</w:t>
            </w: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(51,155)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(23,096)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(16,320)</w:t>
            </w:r>
          </w:p>
        </w:tc>
      </w:tr>
      <w:tr>
        <w:trPr>
          <w:trHeight w:val="186"/>
        </w:trPr>
        <w:tc>
          <w:tcPr>
            <w:tcW w:w="6820" w:type="dxa"/>
            <w:vAlign w:val="bottom"/>
          </w:tcPr>
          <w:p>
            <w:pPr>
              <w:ind w:left="20"/>
              <w:spacing w:after="0" w:line="186" w:lineRule="exact"/>
              <w:rPr>
                <w:sz w:val="20"/>
                <w:szCs w:val="20"/>
                <w:color w:val="auto"/>
              </w:rPr>
            </w:pPr>
            <w:r>
              <w:rPr>
                <w:rFonts w:ascii="Arial" w:cs="Arial" w:eastAsia="Arial" w:hAnsi="Arial"/>
                <w:sz w:val="17"/>
                <w:szCs w:val="17"/>
                <w:color w:val="auto"/>
              </w:rPr>
              <w:t>Net loss</w:t>
            </w:r>
          </w:p>
        </w:tc>
        <w:tc>
          <w:tcPr>
            <w:tcW w:w="1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(114,679)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(32,665)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(38,191)</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Basic net loss per share: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r>
      <w:tr>
        <w:trPr>
          <w:trHeight w:val="218"/>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Loss from discontinued operations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(0.56)</w:t>
            </w:r>
          </w:p>
        </w:tc>
      </w:tr>
      <w:tr>
        <w:trPr>
          <w:trHeight w:val="238"/>
        </w:trPr>
        <w:tc>
          <w:tcPr>
            <w:tcW w:w="6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basic net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loss per share: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8"/>
        </w:trPr>
        <w:tc>
          <w:tcPr>
            <w:tcW w:w="6820" w:type="dxa"/>
            <w:vAlign w:val="bottom"/>
          </w:tcPr>
          <w:p>
            <w:pPr>
              <w:ind w:left="140"/>
              <w:spacing w:after="0"/>
              <w:rPr>
                <w:sz w:val="20"/>
                <w:szCs w:val="20"/>
                <w:color w:val="auto"/>
              </w:rPr>
            </w:pPr>
            <w:r>
              <w:rPr>
                <w:rFonts w:ascii="Arial" w:cs="Arial" w:eastAsia="Arial" w:hAnsi="Arial"/>
                <w:sz w:val="17"/>
                <w:szCs w:val="17"/>
                <w:color w:val="auto"/>
              </w:rPr>
              <w:t>Loss from continuing operations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(2.16)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(0.33)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(0.75)</w:t>
            </w: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from 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(0.56)</w:t>
            </w:r>
          </w:p>
        </w:tc>
      </w:tr>
      <w:tr>
        <w:trPr>
          <w:trHeight w:val="213"/>
        </w:trPr>
        <w:tc>
          <w:tcPr>
            <w:tcW w:w="6820" w:type="dxa"/>
            <w:vAlign w:val="bottom"/>
          </w:tcPr>
          <w:p>
            <w:pPr>
              <w:ind w:left="320"/>
              <w:spacing w:after="0"/>
              <w:rPr>
                <w:sz w:val="20"/>
                <w:szCs w:val="20"/>
                <w:color w:val="auto"/>
              </w:rPr>
            </w:pPr>
            <w:r>
              <w:rPr>
                <w:rFonts w:ascii="Arial" w:cs="Arial" w:eastAsia="Arial" w:hAnsi="Arial"/>
                <w:sz w:val="17"/>
                <w:szCs w:val="17"/>
                <w:color w:val="auto"/>
              </w:rPr>
              <w:t>Total diluted net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Shares used in per share computation:</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5"/>
        </w:trPr>
        <w:tc>
          <w:tcPr>
            <w:tcW w:w="6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29,162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820" w:type="dxa"/>
            <w:vAlign w:val="bottom"/>
          </w:tcPr>
          <w:p>
            <w:pPr>
              <w:ind w:left="140"/>
              <w:spacing w:after="0" w:line="191" w:lineRule="exact"/>
              <w:rPr>
                <w:sz w:val="20"/>
                <w:szCs w:val="20"/>
                <w:color w:val="auto"/>
              </w:rPr>
            </w:pPr>
            <w:r>
              <w:rPr>
                <w:rFonts w:ascii="Arial" w:cs="Arial" w:eastAsia="Arial" w:hAnsi="Arial"/>
                <w:sz w:val="17"/>
                <w:szCs w:val="17"/>
                <w:color w:val="auto"/>
              </w:rPr>
              <w:t>Diluted</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29,466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29,294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29,162</w:t>
            </w: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2" w:name="page53"/>
    <w:bookmarkEnd w:id="52"/>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LIFECORE BIOMEDICAL,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(LOSS)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89"/>
              </w:rPr>
              <w:t>Year Ended</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1"/>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i w:val="1"/>
                <w:iCs w:val="1"/>
                <w:color w:val="auto"/>
                <w:w w:val="88"/>
              </w:rPr>
              <w:t>As restated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May 29, 2022</w:t>
            </w:r>
          </w:p>
        </w:tc>
        <w:tc>
          <w:tcPr>
            <w:tcW w:w="16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May 30, 2021</w:t>
            </w:r>
          </w:p>
        </w:tc>
        <w:tc>
          <w:tcPr>
            <w:tcW w:w="1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31, 2020</w:t>
            </w:r>
          </w:p>
        </w:tc>
      </w:tr>
      <w:tr>
        <w:trPr>
          <w:trHeight w:val="21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(114,679)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(32,665)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(38,191)</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Other comprehensive (loss) income, net of tax:</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Net unrealized gains (losses) on interest rate swaps, (net of tax effect of ($430), $(445), and $878)</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(2,872)</w:t>
            </w:r>
          </w:p>
        </w:tc>
      </w:tr>
      <w:tr>
        <w:trPr>
          <w:trHeight w:val="211"/>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 net of tax</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(2,872)</w:t>
            </w:r>
          </w:p>
        </w:tc>
      </w:tr>
      <w:tr>
        <w:trPr>
          <w:trHeight w:val="23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(41,063)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3" w:name="page54"/>
    <w:bookmarkEnd w:id="53"/>
    <w:p>
      <w:pPr>
        <w:ind w:left="56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LIFECORE BIOMEDICAL, INC.</w:t>
      </w:r>
    </w:p>
    <w:p>
      <w:pPr>
        <w:spacing w:after="0" w:line="28"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CONSOLIDATED STATEMENTS OF CHANGES IN</w:t>
      </w:r>
    </w:p>
    <w:p>
      <w:pPr>
        <w:spacing w:after="0" w:line="11"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STOCKHOLDERS’ EQUITY</w:t>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Retained</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Accumulated</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60" w:type="dxa"/>
            <w:vAlign w:val="bottom"/>
          </w:tcPr>
          <w:p>
            <w:pPr>
              <w:spacing w:after="0"/>
              <w:rPr>
                <w:sz w:val="19"/>
                <w:szCs w:val="19"/>
                <w:color w:val="auto"/>
              </w:rPr>
            </w:pPr>
          </w:p>
        </w:tc>
        <w:tc>
          <w:tcPr>
            <w:tcW w:w="2020" w:type="dxa"/>
            <w:vAlign w:val="bottom"/>
            <w:gridSpan w:val="5"/>
          </w:tcPr>
          <w:p>
            <w:pPr>
              <w:ind w:left="420"/>
              <w:spacing w:after="0"/>
              <w:rPr>
                <w:sz w:val="20"/>
                <w:szCs w:val="20"/>
                <w:color w:val="auto"/>
              </w:rPr>
            </w:pPr>
            <w:r>
              <w:rPr>
                <w:rFonts w:ascii="Arial" w:cs="Arial" w:eastAsia="Arial" w:hAnsi="Arial"/>
                <w:sz w:val="17"/>
                <w:szCs w:val="17"/>
                <w:color w:val="auto"/>
              </w:rPr>
              <w:t>Common Stock</w:t>
            </w:r>
          </w:p>
        </w:tc>
        <w:tc>
          <w:tcPr>
            <w:tcW w:w="18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color w:val="auto"/>
                <w:w w:val="99"/>
              </w:rPr>
              <w:t>Additional</w:t>
            </w:r>
          </w:p>
        </w:tc>
        <w:tc>
          <w:tcPr>
            <w:tcW w:w="10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Earnings</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Other</w:t>
            </w:r>
          </w:p>
        </w:tc>
        <w:tc>
          <w:tcPr>
            <w:tcW w:w="140" w:type="dxa"/>
            <w:vAlign w:val="bottom"/>
          </w:tcPr>
          <w:p>
            <w:pPr>
              <w:spacing w:after="0"/>
              <w:rPr>
                <w:sz w:val="19"/>
                <w:szCs w:val="19"/>
                <w:color w:val="auto"/>
              </w:rPr>
            </w:pPr>
          </w:p>
        </w:tc>
        <w:tc>
          <w:tcPr>
            <w:tcW w:w="1200" w:type="dxa"/>
            <w:vAlign w:val="bottom"/>
          </w:tcPr>
          <w:p>
            <w:pPr>
              <w:jc w:val="center"/>
              <w:ind w:right="55"/>
              <w:spacing w:after="0"/>
              <w:rPr>
                <w:sz w:val="20"/>
                <w:szCs w:val="20"/>
                <w:color w:val="auto"/>
              </w:rPr>
            </w:pPr>
            <w:r>
              <w:rPr>
                <w:rFonts w:ascii="Arial" w:cs="Arial" w:eastAsia="Arial" w:hAnsi="Arial"/>
                <w:sz w:val="17"/>
                <w:szCs w:val="17"/>
                <w:color w:val="auto"/>
                <w:w w:val="89"/>
              </w:rPr>
              <w:t>Total</w:t>
            </w: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2"/>
            <w:vMerge w:val="restart"/>
          </w:tcPr>
          <w:p>
            <w:pPr>
              <w:jc w:val="center"/>
              <w:ind w:right="280"/>
              <w:spacing w:after="0" w:line="117" w:lineRule="exact"/>
              <w:rPr>
                <w:sz w:val="20"/>
                <w:szCs w:val="20"/>
                <w:color w:val="auto"/>
              </w:rPr>
            </w:pPr>
            <w:r>
              <w:rPr>
                <w:rFonts w:ascii="Arial" w:cs="Arial" w:eastAsia="Arial" w:hAnsi="Arial"/>
                <w:sz w:val="13"/>
                <w:szCs w:val="13"/>
                <w:color w:val="auto"/>
              </w:rPr>
              <w:t>Paid-in</w:t>
            </w:r>
          </w:p>
        </w:tc>
        <w:tc>
          <w:tcPr>
            <w:tcW w:w="100" w:type="dxa"/>
            <w:vAlign w:val="bottom"/>
          </w:tcPr>
          <w:p>
            <w:pPr>
              <w:spacing w:after="0"/>
              <w:rPr>
                <w:sz w:val="4"/>
                <w:szCs w:val="4"/>
                <w:color w:val="auto"/>
              </w:rPr>
            </w:pPr>
          </w:p>
        </w:tc>
        <w:tc>
          <w:tcPr>
            <w:tcW w:w="1200" w:type="dxa"/>
            <w:vAlign w:val="bottom"/>
            <w:gridSpan w:val="2"/>
            <w:vMerge w:val="restart"/>
          </w:tcPr>
          <w:p>
            <w:pPr>
              <w:jc w:val="center"/>
              <w:ind w:right="220"/>
              <w:spacing w:after="0" w:line="117" w:lineRule="exact"/>
              <w:rPr>
                <w:sz w:val="20"/>
                <w:szCs w:val="20"/>
                <w:color w:val="auto"/>
              </w:rPr>
            </w:pPr>
            <w:r>
              <w:rPr>
                <w:rFonts w:ascii="Arial" w:cs="Arial" w:eastAsia="Arial" w:hAnsi="Arial"/>
                <w:sz w:val="13"/>
                <w:szCs w:val="13"/>
                <w:color w:val="auto"/>
              </w:rPr>
              <w:t>(Accumulated</w:t>
            </w:r>
          </w:p>
        </w:tc>
        <w:tc>
          <w:tcPr>
            <w:tcW w:w="160" w:type="dxa"/>
            <w:vAlign w:val="bottom"/>
          </w:tcPr>
          <w:p>
            <w:pPr>
              <w:spacing w:after="0"/>
              <w:rPr>
                <w:sz w:val="4"/>
                <w:szCs w:val="4"/>
                <w:color w:val="auto"/>
              </w:rPr>
            </w:pPr>
          </w:p>
        </w:tc>
        <w:tc>
          <w:tcPr>
            <w:tcW w:w="1440" w:type="dxa"/>
            <w:vAlign w:val="bottom"/>
            <w:gridSpan w:val="2"/>
            <w:vMerge w:val="restart"/>
          </w:tcPr>
          <w:p>
            <w:pPr>
              <w:jc w:val="center"/>
              <w:ind w:right="280"/>
              <w:spacing w:after="0" w:line="117" w:lineRule="exact"/>
              <w:rPr>
                <w:sz w:val="20"/>
                <w:szCs w:val="20"/>
                <w:color w:val="auto"/>
              </w:rPr>
            </w:pPr>
            <w:r>
              <w:rPr>
                <w:rFonts w:ascii="Arial" w:cs="Arial" w:eastAsia="Arial" w:hAnsi="Arial"/>
                <w:sz w:val="13"/>
                <w:szCs w:val="13"/>
                <w:color w:val="auto"/>
              </w:rPr>
              <w:t>Comprehensive</w:t>
            </w:r>
          </w:p>
        </w:tc>
        <w:tc>
          <w:tcPr>
            <w:tcW w:w="140" w:type="dxa"/>
            <w:vAlign w:val="bottom"/>
          </w:tcPr>
          <w:p>
            <w:pPr>
              <w:spacing w:after="0"/>
              <w:rPr>
                <w:sz w:val="4"/>
                <w:szCs w:val="4"/>
                <w:color w:val="auto"/>
              </w:rPr>
            </w:pPr>
          </w:p>
        </w:tc>
        <w:tc>
          <w:tcPr>
            <w:tcW w:w="1200" w:type="dxa"/>
            <w:vAlign w:val="bottom"/>
            <w:vMerge w:val="restart"/>
          </w:tcPr>
          <w:p>
            <w:pPr>
              <w:jc w:val="center"/>
              <w:ind w:right="55"/>
              <w:spacing w:after="0" w:line="117" w:lineRule="exact"/>
              <w:rPr>
                <w:sz w:val="20"/>
                <w:szCs w:val="20"/>
                <w:color w:val="auto"/>
              </w:rPr>
            </w:pPr>
            <w:r>
              <w:rPr>
                <w:rFonts w:ascii="Arial" w:cs="Arial" w:eastAsia="Arial" w:hAnsi="Arial"/>
                <w:sz w:val="13"/>
                <w:szCs w:val="13"/>
                <w:color w:val="auto"/>
              </w:rPr>
              <w:t>Stockholders’</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940" w:type="dxa"/>
            <w:vAlign w:val="bottom"/>
            <w:vMerge w:val="restart"/>
          </w:tcPr>
          <w:p>
            <w:pPr>
              <w:jc w:val="right"/>
              <w:ind w:right="174"/>
              <w:spacing w:after="0"/>
              <w:rPr>
                <w:sz w:val="20"/>
                <w:szCs w:val="20"/>
                <w:color w:val="auto"/>
              </w:rPr>
            </w:pPr>
            <w:r>
              <w:rPr>
                <w:rFonts w:ascii="Arial" w:cs="Arial" w:eastAsia="Arial" w:hAnsi="Arial"/>
                <w:sz w:val="17"/>
                <w:szCs w:val="17"/>
                <w:color w:val="auto"/>
              </w:rPr>
              <w:t>Shares</w:t>
            </w:r>
          </w:p>
        </w:tc>
        <w:tc>
          <w:tcPr>
            <w:tcW w:w="10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restart"/>
          </w:tcPr>
          <w:p>
            <w:pPr>
              <w:jc w:val="right"/>
              <w:ind w:right="74"/>
              <w:spacing w:after="0"/>
              <w:rPr>
                <w:sz w:val="20"/>
                <w:szCs w:val="20"/>
                <w:color w:val="auto"/>
              </w:rPr>
            </w:pPr>
            <w:r>
              <w:rPr>
                <w:rFonts w:ascii="Arial" w:cs="Arial" w:eastAsia="Arial" w:hAnsi="Arial"/>
                <w:sz w:val="17"/>
                <w:szCs w:val="17"/>
                <w:color w:val="auto"/>
                <w:w w:val="98"/>
              </w:rPr>
              <w:t>Amount</w:t>
            </w:r>
          </w:p>
        </w:tc>
        <w:tc>
          <w:tcPr>
            <w:tcW w:w="100" w:type="dxa"/>
            <w:vAlign w:val="bottom"/>
            <w:vMerge w:val="restart"/>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5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4"/>
              </w:rPr>
              <w:t>Capital</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rPr>
              <w:t>Deficit)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4"/>
              </w:rPr>
              <w:t>Loss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97"/>
              </w:rPr>
              <w:t>Equity</w:t>
            </w:r>
          </w:p>
        </w:tc>
        <w:tc>
          <w:tcPr>
            <w:tcW w:w="0" w:type="dxa"/>
            <w:vAlign w:val="bottom"/>
          </w:tcPr>
          <w:p>
            <w:pPr>
              <w:spacing w:after="0"/>
              <w:rPr>
                <w:sz w:val="1"/>
                <w:szCs w:val="1"/>
                <w:color w:val="auto"/>
              </w:rPr>
            </w:pPr>
          </w:p>
        </w:tc>
      </w:tr>
      <w:tr>
        <w:trPr>
          <w:trHeight w:val="213"/>
        </w:trPr>
        <w:tc>
          <w:tcPr>
            <w:tcW w:w="3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i w:val="1"/>
                <w:iCs w:val="1"/>
                <w:color w:val="auto"/>
                <w:w w:val="88"/>
              </w:rPr>
              <w:t>As restated</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Balance at May 26,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29,102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160,341</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109,710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270,144</w:t>
            </w:r>
          </w:p>
        </w:tc>
        <w:tc>
          <w:tcPr>
            <w:tcW w:w="0" w:type="dxa"/>
            <w:vAlign w:val="bottom"/>
          </w:tcPr>
          <w:p>
            <w:pPr>
              <w:spacing w:after="0"/>
              <w:rPr>
                <w:sz w:val="1"/>
                <w:szCs w:val="1"/>
                <w:color w:val="auto"/>
              </w:rPr>
            </w:pPr>
          </w:p>
        </w:tc>
      </w:tr>
      <w:tr>
        <w:trPr>
          <w:trHeight w:val="213"/>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ASC 842 transition adjustment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168"/>
        </w:trPr>
        <w:tc>
          <w:tcPr>
            <w:tcW w:w="3560" w:type="dxa"/>
            <w:vAlign w:val="bottom"/>
          </w:tcPr>
          <w:p>
            <w:pPr>
              <w:spacing w:after="0" w:line="168" w:lineRule="exact"/>
              <w:rPr>
                <w:sz w:val="20"/>
                <w:szCs w:val="20"/>
                <w:color w:val="auto"/>
              </w:rPr>
            </w:pPr>
            <w:r>
              <w:rPr>
                <w:rFonts w:ascii="Arial" w:cs="Arial" w:eastAsia="Arial" w:hAnsi="Arial"/>
                <w:sz w:val="17"/>
                <w:szCs w:val="17"/>
                <w:color w:val="auto"/>
                <w:w w:val="93"/>
              </w:rPr>
              <w:t>Issuance of stock under stock plans, net of shares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560" w:type="dxa"/>
            <w:vAlign w:val="bottom"/>
          </w:tcPr>
          <w:p>
            <w:pPr>
              <w:spacing w:after="0"/>
              <w:rPr>
                <w:sz w:val="20"/>
                <w:szCs w:val="20"/>
                <w:color w:val="auto"/>
              </w:rPr>
            </w:pPr>
            <w:r>
              <w:rPr>
                <w:rFonts w:ascii="Arial" w:cs="Arial" w:eastAsia="Arial" w:hAnsi="Arial"/>
                <w:sz w:val="17"/>
                <w:szCs w:val="17"/>
                <w:color w:val="auto"/>
              </w:rPr>
              <w:t>withheld</w:t>
            </w:r>
          </w:p>
        </w:tc>
        <w:tc>
          <w:tcPr>
            <w:tcW w:w="94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w w:val="94"/>
              </w:rPr>
              <w:t>Taxes paid by Company for employee stock plans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18"/>
        </w:trPr>
        <w:tc>
          <w:tcPr>
            <w:tcW w:w="35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2,419</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(38,191)</w:t>
            </w:r>
          </w:p>
        </w:tc>
        <w:tc>
          <w:tcPr>
            <w:tcW w:w="0" w:type="dxa"/>
            <w:vAlign w:val="bottom"/>
          </w:tcPr>
          <w:p>
            <w:pPr>
              <w:spacing w:after="0"/>
              <w:rPr>
                <w:sz w:val="1"/>
                <w:szCs w:val="1"/>
                <w:color w:val="auto"/>
              </w:rPr>
            </w:pPr>
          </w:p>
        </w:tc>
      </w:tr>
      <w:tr>
        <w:trPr>
          <w:trHeight w:val="218"/>
        </w:trPr>
        <w:tc>
          <w:tcPr>
            <w:tcW w:w="3560" w:type="dxa"/>
            <w:vAlign w:val="bottom"/>
          </w:tcPr>
          <w:p>
            <w:pPr>
              <w:spacing w:after="0"/>
              <w:rPr>
                <w:sz w:val="20"/>
                <w:szCs w:val="20"/>
                <w:color w:val="auto"/>
              </w:rPr>
            </w:pPr>
            <w:r>
              <w:rPr>
                <w:rFonts w:ascii="Arial" w:cs="Arial" w:eastAsia="Arial" w:hAnsi="Arial"/>
                <w:sz w:val="17"/>
                <w:szCs w:val="17"/>
                <w:color w:val="auto"/>
              </w:rPr>
              <w:t>Other comprehensive loss, net of tax</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(2,872)</w:t>
            </w:r>
          </w:p>
        </w:tc>
        <w:tc>
          <w:tcPr>
            <w:tcW w:w="0" w:type="dxa"/>
            <w:vAlign w:val="bottom"/>
          </w:tcPr>
          <w:p>
            <w:pPr>
              <w:spacing w:after="0"/>
              <w:rPr>
                <w:sz w:val="1"/>
                <w:szCs w:val="1"/>
                <w:color w:val="auto"/>
              </w:rPr>
            </w:pPr>
          </w:p>
        </w:tc>
      </w:tr>
      <w:tr>
        <w:trPr>
          <w:trHeight w:val="238"/>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May 31, 2020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162,578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231,044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spacing w:after="0" w:line="154" w:lineRule="exact"/>
              <w:rPr>
                <w:sz w:val="20"/>
                <w:szCs w:val="20"/>
                <w:color w:val="auto"/>
              </w:rPr>
            </w:pPr>
            <w:r>
              <w:rPr>
                <w:rFonts w:ascii="Arial" w:cs="Arial" w:eastAsia="Arial" w:hAnsi="Arial"/>
                <w:sz w:val="17"/>
                <w:szCs w:val="17"/>
                <w:color w:val="auto"/>
                <w:w w:val="93"/>
              </w:rPr>
              <w:t>Issuance of stock under stock plans, net of shares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5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3560" w:type="dxa"/>
            <w:vAlign w:val="bottom"/>
          </w:tcPr>
          <w:p>
            <w:pPr>
              <w:spacing w:after="0"/>
              <w:rPr>
                <w:sz w:val="20"/>
                <w:szCs w:val="20"/>
                <w:color w:val="auto"/>
              </w:rPr>
            </w:pPr>
            <w:r>
              <w:rPr>
                <w:rFonts w:ascii="Arial" w:cs="Arial" w:eastAsia="Arial" w:hAnsi="Arial"/>
                <w:sz w:val="17"/>
                <w:szCs w:val="17"/>
                <w:color w:val="auto"/>
              </w:rPr>
              <w:t>withheld</w:t>
            </w:r>
          </w:p>
        </w:tc>
        <w:tc>
          <w:tcPr>
            <w:tcW w:w="94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w w:val="94"/>
              </w:rPr>
              <w:t>Taxes paid by Company for employee stock plans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18"/>
        </w:trPr>
        <w:tc>
          <w:tcPr>
            <w:tcW w:w="35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3,360</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(32,665)</w:t>
            </w:r>
          </w:p>
        </w:tc>
        <w:tc>
          <w:tcPr>
            <w:tcW w:w="0" w:type="dxa"/>
            <w:vAlign w:val="bottom"/>
          </w:tcPr>
          <w:p>
            <w:pPr>
              <w:spacing w:after="0"/>
              <w:rPr>
                <w:sz w:val="1"/>
                <w:szCs w:val="1"/>
                <w:color w:val="auto"/>
              </w:rPr>
            </w:pPr>
          </w:p>
        </w:tc>
      </w:tr>
      <w:tr>
        <w:trPr>
          <w:trHeight w:val="218"/>
        </w:trPr>
        <w:tc>
          <w:tcPr>
            <w:tcW w:w="3560" w:type="dxa"/>
            <w:vAlign w:val="bottom"/>
          </w:tcPr>
          <w:p>
            <w:pPr>
              <w:spacing w:after="0"/>
              <w:rPr>
                <w:sz w:val="20"/>
                <w:szCs w:val="20"/>
                <w:color w:val="auto"/>
              </w:rPr>
            </w:pPr>
            <w:r>
              <w:rPr>
                <w:rFonts w:ascii="Arial" w:cs="Arial" w:eastAsia="Arial" w:hAnsi="Arial"/>
                <w:sz w:val="17"/>
                <w:szCs w:val="17"/>
                <w:color w:val="auto"/>
              </w:rPr>
              <w:t>Other comprehensive income, net of tax</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1,450</w:t>
            </w:r>
          </w:p>
        </w:tc>
        <w:tc>
          <w:tcPr>
            <w:tcW w:w="0" w:type="dxa"/>
            <w:vAlign w:val="bottom"/>
          </w:tcPr>
          <w:p>
            <w:pPr>
              <w:spacing w:after="0"/>
              <w:rPr>
                <w:sz w:val="1"/>
                <w:szCs w:val="1"/>
                <w:color w:val="auto"/>
              </w:rPr>
            </w:pPr>
          </w:p>
        </w:tc>
      </w:tr>
      <w:tr>
        <w:trPr>
          <w:trHeight w:val="212"/>
        </w:trPr>
        <w:tc>
          <w:tcPr>
            <w:tcW w:w="3560" w:type="dxa"/>
            <w:vAlign w:val="bottom"/>
            <w:tcBorders>
              <w:top w:val="single" w:sz="8" w:color="CCEEFF"/>
              <w:bottom w:val="single" w:sz="8" w:color="CCEEFF"/>
            </w:tcBorders>
            <w:shd w:val="clear" w:color="auto" w:fill="CCEEFF"/>
          </w:tcPr>
          <w:p>
            <w:pPr>
              <w:spacing w:after="0" w:line="187" w:lineRule="exact"/>
              <w:rPr>
                <w:sz w:val="20"/>
                <w:szCs w:val="20"/>
                <w:color w:val="auto"/>
              </w:rPr>
            </w:pPr>
            <w:r>
              <w:rPr>
                <w:rFonts w:ascii="Arial" w:cs="Arial" w:eastAsia="Arial" w:hAnsi="Arial"/>
                <w:sz w:val="17"/>
                <w:szCs w:val="17"/>
                <w:color w:val="auto"/>
              </w:rPr>
              <w:t>Balance at May 30, 2021</w:t>
            </w:r>
          </w:p>
        </w:tc>
        <w:tc>
          <w:tcPr>
            <w:tcW w:w="94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29,333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165,533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38,580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(1,358)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202,784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spacing w:after="0" w:line="154" w:lineRule="exact"/>
              <w:rPr>
                <w:sz w:val="20"/>
                <w:szCs w:val="20"/>
                <w:color w:val="auto"/>
              </w:rPr>
            </w:pPr>
            <w:r>
              <w:rPr>
                <w:rFonts w:ascii="Arial" w:cs="Arial" w:eastAsia="Arial" w:hAnsi="Arial"/>
                <w:sz w:val="17"/>
                <w:szCs w:val="17"/>
                <w:color w:val="auto"/>
                <w:w w:val="93"/>
              </w:rPr>
              <w:t>Issuance of stock under stock plans, net of shares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5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3560" w:type="dxa"/>
            <w:vAlign w:val="bottom"/>
          </w:tcPr>
          <w:p>
            <w:pPr>
              <w:spacing w:after="0"/>
              <w:rPr>
                <w:sz w:val="20"/>
                <w:szCs w:val="20"/>
                <w:color w:val="auto"/>
              </w:rPr>
            </w:pPr>
            <w:r>
              <w:rPr>
                <w:rFonts w:ascii="Arial" w:cs="Arial" w:eastAsia="Arial" w:hAnsi="Arial"/>
                <w:sz w:val="17"/>
                <w:szCs w:val="17"/>
                <w:color w:val="auto"/>
              </w:rPr>
              <w:t>withheld</w:t>
            </w:r>
          </w:p>
        </w:tc>
        <w:tc>
          <w:tcPr>
            <w:tcW w:w="940" w:type="dxa"/>
            <w:vAlign w:val="bottom"/>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w w:val="94"/>
              </w:rPr>
              <w:t>Taxes paid by Company for employee stock plans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0" w:type="dxa"/>
            <w:vAlign w:val="bottom"/>
          </w:tcPr>
          <w:p>
            <w:pPr>
              <w:spacing w:after="0"/>
              <w:rPr>
                <w:sz w:val="1"/>
                <w:szCs w:val="1"/>
                <w:color w:val="auto"/>
              </w:rPr>
            </w:pPr>
          </w:p>
        </w:tc>
      </w:tr>
      <w:tr>
        <w:trPr>
          <w:trHeight w:val="218"/>
        </w:trPr>
        <w:tc>
          <w:tcPr>
            <w:tcW w:w="35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2,608</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Net loss (as restated)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(114,679)</w:t>
            </w:r>
          </w:p>
        </w:tc>
        <w:tc>
          <w:tcPr>
            <w:tcW w:w="0" w:type="dxa"/>
            <w:vAlign w:val="bottom"/>
          </w:tcPr>
          <w:p>
            <w:pPr>
              <w:spacing w:after="0"/>
              <w:rPr>
                <w:sz w:val="1"/>
                <w:szCs w:val="1"/>
                <w:color w:val="auto"/>
              </w:rPr>
            </w:pPr>
          </w:p>
        </w:tc>
      </w:tr>
      <w:tr>
        <w:trPr>
          <w:trHeight w:val="218"/>
        </w:trPr>
        <w:tc>
          <w:tcPr>
            <w:tcW w:w="3560" w:type="dxa"/>
            <w:vAlign w:val="bottom"/>
          </w:tcPr>
          <w:p>
            <w:pPr>
              <w:spacing w:after="0"/>
              <w:rPr>
                <w:sz w:val="20"/>
                <w:szCs w:val="20"/>
                <w:color w:val="auto"/>
              </w:rPr>
            </w:pPr>
            <w:r>
              <w:rPr>
                <w:rFonts w:ascii="Arial" w:cs="Arial" w:eastAsia="Arial" w:hAnsi="Arial"/>
                <w:sz w:val="17"/>
                <w:szCs w:val="17"/>
                <w:color w:val="auto"/>
              </w:rPr>
              <w:t>Other comprehensive income, net of tax</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772</w:t>
            </w:r>
          </w:p>
        </w:tc>
        <w:tc>
          <w:tcPr>
            <w:tcW w:w="0" w:type="dxa"/>
            <w:vAlign w:val="bottom"/>
          </w:tcPr>
          <w:p>
            <w:pPr>
              <w:spacing w:after="0"/>
              <w:rPr>
                <w:sz w:val="1"/>
                <w:szCs w:val="1"/>
                <w:color w:val="auto"/>
              </w:rPr>
            </w:pPr>
          </w:p>
        </w:tc>
      </w:tr>
      <w:tr>
        <w:trPr>
          <w:trHeight w:val="238"/>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May 29, 2022 (as restated)</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167,352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90,697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295" w:right="3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0"/>
        </w:trPr>
        <w:tc>
          <w:tcPr>
            <w:tcW w:w="62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5160" w:type="dxa"/>
            <w:vAlign w:val="bottom"/>
            <w:gridSpan w:val="2"/>
          </w:tcPr>
          <w:p>
            <w:pPr>
              <w:jc w:val="right"/>
              <w:spacing w:after="0"/>
              <w:rPr>
                <w:sz w:val="20"/>
                <w:szCs w:val="20"/>
                <w:color w:val="auto"/>
              </w:rPr>
            </w:pPr>
            <w:r>
              <w:rPr>
                <w:rFonts w:ascii="Arial" w:cs="Arial" w:eastAsia="Arial" w:hAnsi="Arial"/>
                <w:sz w:val="17"/>
                <w:szCs w:val="17"/>
                <w:b w:val="1"/>
                <w:bCs w:val="1"/>
                <w:color w:val="auto"/>
              </w:rPr>
              <w:t>LIFECORE BIOMEDICAL, INC.</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500" w:type="dxa"/>
            <w:vAlign w:val="bottom"/>
            <w:gridSpan w:val="4"/>
          </w:tcPr>
          <w:p>
            <w:pPr>
              <w:jc w:val="center"/>
              <w:ind w:left="974"/>
              <w:spacing w:after="0"/>
              <w:rPr>
                <w:sz w:val="20"/>
                <w:szCs w:val="20"/>
                <w:color w:val="auto"/>
              </w:rPr>
            </w:pPr>
            <w:r>
              <w:rPr>
                <w:rFonts w:ascii="Arial" w:cs="Arial" w:eastAsia="Arial" w:hAnsi="Arial"/>
                <w:sz w:val="17"/>
                <w:szCs w:val="17"/>
                <w:b w:val="1"/>
                <w:bCs w:val="1"/>
                <w:color w:val="auto"/>
              </w:rPr>
              <w:t>CONSOLIDATED STATEMENTS OF CASH FLOWS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980" w:type="dxa"/>
            <w:vAlign w:val="bottom"/>
          </w:tcPr>
          <w:p>
            <w:pPr>
              <w:jc w:val="center"/>
              <w:ind w:left="2514"/>
              <w:spacing w:after="0"/>
              <w:rPr>
                <w:sz w:val="20"/>
                <w:szCs w:val="20"/>
                <w:color w:val="auto"/>
              </w:rPr>
            </w:pPr>
            <w:r>
              <w:rPr>
                <w:rFonts w:ascii="Arial" w:cs="Arial" w:eastAsia="Arial" w:hAnsi="Arial"/>
                <w:sz w:val="17"/>
                <w:szCs w:val="17"/>
                <w:b w:val="1"/>
                <w:bCs w:val="1"/>
                <w:color w:val="auto"/>
                <w:w w:val="90"/>
              </w:rPr>
              <w:t>(In thousands)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89"/>
              </w:rPr>
              <w:t>Year Ended</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7"/>
                <w:szCs w:val="17"/>
                <w:i w:val="1"/>
                <w:iCs w:val="1"/>
                <w:color w:val="auto"/>
                <w:w w:val="88"/>
              </w:rPr>
              <w:t>As restated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7"/>
                <w:szCs w:val="17"/>
                <w:color w:val="auto"/>
                <w:w w:val="93"/>
              </w:rPr>
              <w:t>May 29, 2022</w:t>
            </w:r>
          </w:p>
        </w:tc>
        <w:tc>
          <w:tcPr>
            <w:tcW w:w="16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May 30, 2021</w:t>
            </w:r>
          </w:p>
        </w:tc>
        <w:tc>
          <w:tcPr>
            <w:tcW w:w="1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31, 2020</w:t>
            </w:r>
          </w:p>
        </w:tc>
        <w:tc>
          <w:tcPr>
            <w:tcW w:w="0" w:type="dxa"/>
            <w:vAlign w:val="bottom"/>
          </w:tcPr>
          <w:p>
            <w:pPr>
              <w:spacing w:after="0"/>
              <w:rPr>
                <w:sz w:val="1"/>
                <w:szCs w:val="1"/>
                <w:color w:val="auto"/>
              </w:rPr>
            </w:pPr>
          </w:p>
        </w:tc>
      </w:tr>
      <w:tr>
        <w:trPr>
          <w:trHeight w:val="200"/>
        </w:trPr>
        <w:tc>
          <w:tcPr>
            <w:tcW w:w="68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820" w:type="dxa"/>
            <w:vAlign w:val="bottom"/>
            <w:gridSpan w:val="3"/>
          </w:tcPr>
          <w:p>
            <w:pPr>
              <w:ind w:left="140"/>
              <w:spacing w:after="0"/>
              <w:rPr>
                <w:sz w:val="20"/>
                <w:szCs w:val="20"/>
                <w:color w:val="auto"/>
              </w:rPr>
            </w:pPr>
            <w:r>
              <w:rPr>
                <w:rFonts w:ascii="Arial" w:cs="Arial" w:eastAsia="Arial" w:hAnsi="Arial"/>
                <w:sz w:val="17"/>
                <w:szCs w:val="17"/>
                <w:color w:val="auto"/>
              </w:rPr>
              <w:t>Net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(114,679)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(32,665)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(38,191)</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Adjustments to reconcile net loss to net cash (used in) provided by operating activities: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20" w:type="dxa"/>
            <w:vAlign w:val="bottom"/>
            <w:gridSpan w:val="3"/>
          </w:tcPr>
          <w:p>
            <w:pPr>
              <w:ind w:left="320"/>
              <w:spacing w:after="0"/>
              <w:rPr>
                <w:sz w:val="20"/>
                <w:szCs w:val="20"/>
                <w:color w:val="auto"/>
              </w:rPr>
            </w:pPr>
            <w:r>
              <w:rPr>
                <w:rFonts w:ascii="Arial" w:cs="Arial" w:eastAsia="Arial" w:hAnsi="Arial"/>
                <w:sz w:val="17"/>
                <w:szCs w:val="17"/>
                <w:color w:val="auto"/>
              </w:rPr>
              <w:t>Impairment of goodwill and long-lived and indefinite-lived assets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78,146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12,953</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Depreciation, amortization of intangibles, debt costs and right-of-use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18,838</w:t>
            </w:r>
          </w:p>
        </w:tc>
        <w:tc>
          <w:tcPr>
            <w:tcW w:w="0" w:type="dxa"/>
            <w:vAlign w:val="bottom"/>
          </w:tcPr>
          <w:p>
            <w:pPr>
              <w:spacing w:after="0"/>
              <w:rPr>
                <w:sz w:val="1"/>
                <w:szCs w:val="1"/>
                <w:color w:val="auto"/>
              </w:rPr>
            </w:pPr>
          </w:p>
        </w:tc>
      </w:tr>
      <w:tr>
        <w:trPr>
          <w:trHeight w:val="218"/>
        </w:trPr>
        <w:tc>
          <w:tcPr>
            <w:tcW w:w="6820" w:type="dxa"/>
            <w:vAlign w:val="bottom"/>
            <w:gridSpan w:val="3"/>
          </w:tcPr>
          <w:p>
            <w:pPr>
              <w:ind w:left="320"/>
              <w:spacing w:after="0"/>
              <w:rPr>
                <w:sz w:val="20"/>
                <w:szCs w:val="20"/>
                <w:color w:val="auto"/>
              </w:rPr>
            </w:pPr>
            <w:r>
              <w:rPr>
                <w:rFonts w:ascii="Arial" w:cs="Arial" w:eastAsia="Arial" w:hAnsi="Arial"/>
                <w:sz w:val="17"/>
                <w:szCs w:val="17"/>
                <w:color w:val="auto"/>
              </w:rPr>
              <w:t>Deferred taxes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(6,990)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(5,440)</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Loss on disposal of property and equipment related to restructuring,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14,802</w:t>
            </w:r>
          </w:p>
        </w:tc>
        <w:tc>
          <w:tcPr>
            <w:tcW w:w="0" w:type="dxa"/>
            <w:vAlign w:val="bottom"/>
          </w:tcPr>
          <w:p>
            <w:pPr>
              <w:spacing w:after="0"/>
              <w:rPr>
                <w:sz w:val="1"/>
                <w:szCs w:val="1"/>
                <w:color w:val="auto"/>
              </w:rPr>
            </w:pPr>
          </w:p>
        </w:tc>
      </w:tr>
      <w:tr>
        <w:trPr>
          <w:trHeight w:val="218"/>
        </w:trPr>
        <w:tc>
          <w:tcPr>
            <w:tcW w:w="6820" w:type="dxa"/>
            <w:vAlign w:val="bottom"/>
            <w:gridSpan w:val="3"/>
          </w:tcPr>
          <w:p>
            <w:pPr>
              <w:ind w:left="320"/>
              <w:spacing w:after="0"/>
              <w:rPr>
                <w:sz w:val="20"/>
                <w:szCs w:val="20"/>
                <w:color w:val="auto"/>
              </w:rPr>
            </w:pPr>
            <w:r>
              <w:rPr>
                <w:rFonts w:ascii="Arial" w:cs="Arial" w:eastAsia="Arial" w:hAnsi="Arial"/>
                <w:sz w:val="17"/>
                <w:szCs w:val="17"/>
                <w:color w:val="auto"/>
              </w:rPr>
              <w:t>Stock-based compensation expense</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2,419</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Loss on sale of Eat Smart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820" w:type="dxa"/>
            <w:vAlign w:val="bottom"/>
            <w:gridSpan w:val="3"/>
          </w:tcPr>
          <w:p>
            <w:pPr>
              <w:ind w:left="320"/>
              <w:spacing w:after="0"/>
              <w:rPr>
                <w:sz w:val="20"/>
                <w:szCs w:val="20"/>
                <w:color w:val="auto"/>
              </w:rPr>
            </w:pPr>
            <w:r>
              <w:rPr>
                <w:rFonts w:ascii="Arial" w:cs="Arial" w:eastAsia="Arial" w:hAnsi="Arial"/>
                <w:sz w:val="17"/>
                <w:szCs w:val="17"/>
                <w:color w:val="auto"/>
              </w:rPr>
              <w:t>Net loss on disposal of property and equipment held and used</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Provision (benefit) for expected credit losses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18"/>
        </w:trPr>
        <w:tc>
          <w:tcPr>
            <w:tcW w:w="6820" w:type="dxa"/>
            <w:vAlign w:val="bottom"/>
            <w:gridSpan w:val="3"/>
          </w:tcPr>
          <w:p>
            <w:pPr>
              <w:ind w:left="320"/>
              <w:spacing w:after="0"/>
              <w:rPr>
                <w:sz w:val="20"/>
                <w:szCs w:val="20"/>
                <w:color w:val="auto"/>
              </w:rPr>
            </w:pPr>
            <w:r>
              <w:rPr>
                <w:rFonts w:ascii="Arial" w:cs="Arial" w:eastAsia="Arial" w:hAnsi="Arial"/>
                <w:sz w:val="17"/>
                <w:szCs w:val="17"/>
                <w:color w:val="auto"/>
              </w:rPr>
              <w:t>Change in investment in non-public company, fair value</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4,200</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Loss on debt refinancing</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820" w:type="dxa"/>
            <w:vAlign w:val="bottom"/>
            <w:gridSpan w:val="3"/>
          </w:tcPr>
          <w:p>
            <w:pPr>
              <w:ind w:left="340"/>
              <w:spacing w:after="0"/>
              <w:rPr>
                <w:sz w:val="20"/>
                <w:szCs w:val="20"/>
                <w:color w:val="auto"/>
              </w:rPr>
            </w:pPr>
            <w:r>
              <w:rPr>
                <w:rFonts w:ascii="Arial" w:cs="Arial" w:eastAsia="Arial" w:hAnsi="Arial"/>
                <w:sz w:val="17"/>
                <w:szCs w:val="17"/>
                <w:color w:val="auto"/>
              </w:rPr>
              <w:t>Pacific Harvest note receivable reserve</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1,202</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Change in contingent consideration liability</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18"/>
        </w:trPr>
        <w:tc>
          <w:tcPr>
            <w:tcW w:w="6820" w:type="dxa"/>
            <w:vAlign w:val="bottom"/>
            <w:gridSpan w:val="3"/>
          </w:tcPr>
          <w:p>
            <w:pPr>
              <w:ind w:left="340"/>
              <w:spacing w:after="0"/>
              <w:rPr>
                <w:sz w:val="20"/>
                <w:szCs w:val="20"/>
                <w:color w:val="auto"/>
              </w:rPr>
            </w:pPr>
            <w:r>
              <w:rPr>
                <w:rFonts w:ascii="Arial" w:cs="Arial" w:eastAsia="Arial" w:hAnsi="Arial"/>
                <w:sz w:val="17"/>
                <w:szCs w:val="17"/>
                <w:color w:val="auto"/>
              </w:rPr>
              <w:t>Other, net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Changes in current assets and current liabilities: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20" w:type="dxa"/>
            <w:vAlign w:val="bottom"/>
            <w:gridSpan w:val="3"/>
          </w:tcPr>
          <w:p>
            <w:pPr>
              <w:ind w:left="440"/>
              <w:spacing w:after="0"/>
              <w:rPr>
                <w:sz w:val="20"/>
                <w:szCs w:val="20"/>
                <w:color w:val="auto"/>
              </w:rPr>
            </w:pPr>
            <w:r>
              <w:rPr>
                <w:rFonts w:ascii="Arial" w:cs="Arial" w:eastAsia="Arial" w:hAnsi="Arial"/>
                <w:sz w:val="17"/>
                <w:szCs w:val="17"/>
                <w:color w:val="auto"/>
              </w:rPr>
              <w:t>Accounts receivable, net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(6,138)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5,775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(6,357)</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Inventory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(12,179)</w:t>
            </w:r>
          </w:p>
        </w:tc>
        <w:tc>
          <w:tcPr>
            <w:tcW w:w="0" w:type="dxa"/>
            <w:vAlign w:val="bottom"/>
          </w:tcPr>
          <w:p>
            <w:pPr>
              <w:spacing w:after="0"/>
              <w:rPr>
                <w:sz w:val="1"/>
                <w:szCs w:val="1"/>
                <w:color w:val="auto"/>
              </w:rPr>
            </w:pPr>
          </w:p>
        </w:tc>
      </w:tr>
      <w:tr>
        <w:trPr>
          <w:trHeight w:val="218"/>
        </w:trPr>
        <w:tc>
          <w:tcPr>
            <w:tcW w:w="6820" w:type="dxa"/>
            <w:vAlign w:val="bottom"/>
            <w:gridSpan w:val="3"/>
          </w:tcPr>
          <w:p>
            <w:pPr>
              <w:ind w:left="44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7,941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(6,815)</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w:t>
            </w:r>
          </w:p>
        </w:tc>
        <w:tc>
          <w:tcPr>
            <w:tcW w:w="0" w:type="dxa"/>
            <w:vAlign w:val="bottom"/>
          </w:tcPr>
          <w:p>
            <w:pPr>
              <w:spacing w:after="0"/>
              <w:rPr>
                <w:sz w:val="1"/>
                <w:szCs w:val="1"/>
                <w:color w:val="auto"/>
              </w:rPr>
            </w:pPr>
          </w:p>
        </w:tc>
      </w:tr>
      <w:tr>
        <w:trPr>
          <w:trHeight w:val="218"/>
        </w:trPr>
        <w:tc>
          <w:tcPr>
            <w:tcW w:w="6820" w:type="dxa"/>
            <w:vAlign w:val="bottom"/>
            <w:gridSpan w:val="3"/>
          </w:tcPr>
          <w:p>
            <w:pPr>
              <w:ind w:left="440"/>
              <w:spacing w:after="0"/>
              <w:rPr>
                <w:sz w:val="20"/>
                <w:szCs w:val="20"/>
                <w:color w:val="auto"/>
              </w:rPr>
            </w:pPr>
            <w:r>
              <w:rPr>
                <w:rFonts w:ascii="Arial" w:cs="Arial" w:eastAsia="Arial" w:hAnsi="Arial"/>
                <w:sz w:val="17"/>
                <w:szCs w:val="17"/>
                <w:color w:val="auto"/>
              </w:rPr>
              <w:t>Accrued compensation</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(1,894)</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Other accrued liabilities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w:t>
            </w:r>
          </w:p>
        </w:tc>
        <w:tc>
          <w:tcPr>
            <w:tcW w:w="0" w:type="dxa"/>
            <w:vAlign w:val="bottom"/>
          </w:tcPr>
          <w:p>
            <w:pPr>
              <w:spacing w:after="0"/>
              <w:rPr>
                <w:sz w:val="1"/>
                <w:szCs w:val="1"/>
                <w:color w:val="auto"/>
              </w:rPr>
            </w:pPr>
          </w:p>
        </w:tc>
      </w:tr>
      <w:tr>
        <w:trPr>
          <w:trHeight w:val="218"/>
        </w:trPr>
        <w:tc>
          <w:tcPr>
            <w:tcW w:w="6820" w:type="dxa"/>
            <w:vAlign w:val="bottom"/>
            <w:tcBorders>
              <w:bottom w:val="single" w:sz="8" w:color="CCEEFF"/>
            </w:tcBorders>
            <w:gridSpan w:val="3"/>
          </w:tcPr>
          <w:p>
            <w:pPr>
              <w:ind w:left="440"/>
              <w:spacing w:after="0"/>
              <w:rPr>
                <w:sz w:val="20"/>
                <w:szCs w:val="20"/>
                <w:color w:val="auto"/>
              </w:rPr>
            </w:pPr>
            <w:r>
              <w:rPr>
                <w:rFonts w:ascii="Arial" w:cs="Arial" w:eastAsia="Arial" w:hAnsi="Arial"/>
                <w:sz w:val="17"/>
                <w:szCs w:val="17"/>
                <w:color w:val="auto"/>
              </w:rPr>
              <w:t>Deferred revenue</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13"/>
        </w:trPr>
        <w:tc>
          <w:tcPr>
            <w:tcW w:w="68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Net cash (used in)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(24,399)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15,017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(17,041)</w:t>
            </w:r>
          </w:p>
        </w:tc>
        <w:tc>
          <w:tcPr>
            <w:tcW w:w="0" w:type="dxa"/>
            <w:vAlign w:val="bottom"/>
          </w:tcPr>
          <w:p>
            <w:pPr>
              <w:spacing w:after="0"/>
              <w:rPr>
                <w:sz w:val="1"/>
                <w:szCs w:val="1"/>
                <w:color w:val="auto"/>
              </w:rPr>
            </w:pPr>
          </w:p>
        </w:tc>
      </w:tr>
      <w:tr>
        <w:trPr>
          <w:trHeight w:val="198"/>
        </w:trPr>
        <w:tc>
          <w:tcPr>
            <w:tcW w:w="6820" w:type="dxa"/>
            <w:vAlign w:val="bottom"/>
            <w:gridSpan w:val="3"/>
          </w:tcPr>
          <w:p>
            <w:pPr>
              <w:ind w:left="140"/>
              <w:spacing w:after="0"/>
              <w:rPr>
                <w:sz w:val="20"/>
                <w:szCs w:val="20"/>
                <w:color w:val="auto"/>
              </w:rPr>
            </w:pPr>
            <w:r>
              <w:rPr>
                <w:rFonts w:ascii="Arial" w:cs="Arial" w:eastAsia="Arial" w:hAnsi="Arial"/>
                <w:sz w:val="17"/>
                <w:szCs w:val="17"/>
                <w:color w:val="auto"/>
              </w:rPr>
              <w:t>Cash flows from investing activities: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Proceeds from the Sale of Eat Smart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820" w:type="dxa"/>
            <w:vAlign w:val="bottom"/>
            <w:gridSpan w:val="3"/>
          </w:tcPr>
          <w:p>
            <w:pPr>
              <w:ind w:left="120"/>
              <w:spacing w:after="0"/>
              <w:rPr>
                <w:sz w:val="20"/>
                <w:szCs w:val="20"/>
                <w:color w:val="auto"/>
              </w:rPr>
            </w:pPr>
            <w:r>
              <w:rPr>
                <w:rFonts w:ascii="Arial" w:cs="Arial" w:eastAsia="Arial" w:hAnsi="Arial"/>
                <w:sz w:val="17"/>
                <w:szCs w:val="17"/>
                <w:color w:val="auto"/>
              </w:rPr>
              <w:t>Eat Smart sale net working capital adjustment and cash sale expenses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(9,839)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Proceeds from sale of investment in non-public company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820" w:type="dxa"/>
            <w:vAlign w:val="bottom"/>
            <w:gridSpan w:val="3"/>
          </w:tcPr>
          <w:p>
            <w:pPr>
              <w:ind w:left="140"/>
              <w:spacing w:after="0"/>
              <w:rPr>
                <w:sz w:val="20"/>
                <w:szCs w:val="20"/>
                <w:color w:val="auto"/>
              </w:rPr>
            </w:pPr>
            <w:r>
              <w:rPr>
                <w:rFonts w:ascii="Arial" w:cs="Arial" w:eastAsia="Arial" w:hAnsi="Arial"/>
                <w:sz w:val="17"/>
                <w:szCs w:val="17"/>
                <w:color w:val="auto"/>
              </w:rPr>
              <w:t>Purchases of property and equipment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(28,134)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(23,769)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(26,686)</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Proceeds from sales of property and equipment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w:t>
            </w:r>
          </w:p>
        </w:tc>
        <w:tc>
          <w:tcPr>
            <w:tcW w:w="0" w:type="dxa"/>
            <w:vAlign w:val="bottom"/>
          </w:tcPr>
          <w:p>
            <w:pPr>
              <w:spacing w:after="0"/>
              <w:rPr>
                <w:sz w:val="1"/>
                <w:szCs w:val="1"/>
                <w:color w:val="auto"/>
              </w:rPr>
            </w:pPr>
          </w:p>
        </w:tc>
      </w:tr>
      <w:tr>
        <w:trPr>
          <w:trHeight w:val="218"/>
        </w:trPr>
        <w:tc>
          <w:tcPr>
            <w:tcW w:w="6820" w:type="dxa"/>
            <w:vAlign w:val="bottom"/>
            <w:gridSpan w:val="3"/>
          </w:tcPr>
          <w:p>
            <w:pPr>
              <w:ind w:left="120"/>
              <w:spacing w:after="0"/>
              <w:rPr>
                <w:sz w:val="20"/>
                <w:szCs w:val="20"/>
                <w:color w:val="auto"/>
              </w:rPr>
            </w:pPr>
            <w:r>
              <w:rPr>
                <w:rFonts w:ascii="Arial" w:cs="Arial" w:eastAsia="Arial" w:hAnsi="Arial"/>
                <w:sz w:val="17"/>
                <w:szCs w:val="17"/>
                <w:color w:val="auto"/>
              </w:rPr>
              <w:t>Proceeds from collections of notes receivable</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213"/>
        </w:trPr>
        <w:tc>
          <w:tcPr>
            <w:tcW w:w="682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Net cash provided by (used in)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81,768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(23,888)</w:t>
            </w:r>
          </w:p>
        </w:tc>
        <w:tc>
          <w:tcPr>
            <w:tcW w:w="0" w:type="dxa"/>
            <w:vAlign w:val="bottom"/>
          </w:tcPr>
          <w:p>
            <w:pPr>
              <w:spacing w:after="0"/>
              <w:rPr>
                <w:sz w:val="1"/>
                <w:szCs w:val="1"/>
                <w:color w:val="auto"/>
              </w:rPr>
            </w:pPr>
          </w:p>
        </w:tc>
      </w:tr>
      <w:tr>
        <w:trPr>
          <w:trHeight w:val="198"/>
        </w:trPr>
        <w:tc>
          <w:tcPr>
            <w:tcW w:w="6820" w:type="dxa"/>
            <w:vAlign w:val="bottom"/>
            <w:gridSpan w:val="3"/>
          </w:tcPr>
          <w:p>
            <w:pPr>
              <w:ind w:left="40"/>
              <w:spacing w:after="0"/>
              <w:rPr>
                <w:sz w:val="20"/>
                <w:szCs w:val="20"/>
                <w:color w:val="auto"/>
              </w:rPr>
            </w:pPr>
            <w:r>
              <w:rPr>
                <w:rFonts w:ascii="Arial" w:cs="Arial" w:eastAsia="Arial" w:hAnsi="Arial"/>
                <w:sz w:val="17"/>
                <w:szCs w:val="17"/>
                <w:color w:val="auto"/>
              </w:rPr>
              <w:t>Cash flows from financing activities: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Proceeds from long-term debt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27,500</w:t>
            </w:r>
          </w:p>
        </w:tc>
        <w:tc>
          <w:tcPr>
            <w:tcW w:w="0" w:type="dxa"/>
            <w:vAlign w:val="bottom"/>
          </w:tcPr>
          <w:p>
            <w:pPr>
              <w:spacing w:after="0"/>
              <w:rPr>
                <w:sz w:val="1"/>
                <w:szCs w:val="1"/>
                <w:color w:val="auto"/>
              </w:rPr>
            </w:pPr>
          </w:p>
        </w:tc>
      </w:tr>
      <w:tr>
        <w:trPr>
          <w:trHeight w:val="218"/>
        </w:trPr>
        <w:tc>
          <w:tcPr>
            <w:tcW w:w="6820" w:type="dxa"/>
            <w:vAlign w:val="bottom"/>
            <w:gridSpan w:val="3"/>
          </w:tcPr>
          <w:p>
            <w:pPr>
              <w:ind w:left="140"/>
              <w:spacing w:after="0"/>
              <w:rPr>
                <w:sz w:val="20"/>
                <w:szCs w:val="20"/>
                <w:color w:val="auto"/>
              </w:rPr>
            </w:pPr>
            <w:r>
              <w:rPr>
                <w:rFonts w:ascii="Arial" w:cs="Arial" w:eastAsia="Arial" w:hAnsi="Arial"/>
                <w:sz w:val="17"/>
                <w:szCs w:val="17"/>
                <w:color w:val="auto"/>
              </w:rPr>
              <w:t>Payments on long-term debt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(86,411)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(114,130)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(11,125)</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Proceeds from lines of credit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119,300</w:t>
            </w:r>
          </w:p>
        </w:tc>
        <w:tc>
          <w:tcPr>
            <w:tcW w:w="0" w:type="dxa"/>
            <w:vAlign w:val="bottom"/>
          </w:tcPr>
          <w:p>
            <w:pPr>
              <w:spacing w:after="0"/>
              <w:rPr>
                <w:sz w:val="1"/>
                <w:szCs w:val="1"/>
                <w:color w:val="auto"/>
              </w:rPr>
            </w:pPr>
          </w:p>
        </w:tc>
      </w:tr>
      <w:tr>
        <w:trPr>
          <w:trHeight w:val="218"/>
        </w:trPr>
        <w:tc>
          <w:tcPr>
            <w:tcW w:w="6820" w:type="dxa"/>
            <w:vAlign w:val="bottom"/>
            <w:gridSpan w:val="3"/>
          </w:tcPr>
          <w:p>
            <w:pPr>
              <w:ind w:left="140"/>
              <w:spacing w:after="0"/>
              <w:rPr>
                <w:sz w:val="20"/>
                <w:szCs w:val="20"/>
                <w:color w:val="auto"/>
              </w:rPr>
            </w:pPr>
            <w:r>
              <w:rPr>
                <w:rFonts w:ascii="Arial" w:cs="Arial" w:eastAsia="Arial" w:hAnsi="Arial"/>
                <w:sz w:val="17"/>
                <w:szCs w:val="17"/>
                <w:color w:val="auto"/>
              </w:rPr>
              <w:t>Payments on lines of credit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(44,111)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(148,400)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(93,900)</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Payments for debt issuance costs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w:t>
            </w:r>
          </w:p>
        </w:tc>
        <w:tc>
          <w:tcPr>
            <w:tcW w:w="0" w:type="dxa"/>
            <w:vAlign w:val="bottom"/>
          </w:tcPr>
          <w:p>
            <w:pPr>
              <w:spacing w:after="0"/>
              <w:rPr>
                <w:sz w:val="1"/>
                <w:szCs w:val="1"/>
                <w:color w:val="auto"/>
              </w:rPr>
            </w:pPr>
          </w:p>
        </w:tc>
      </w:tr>
      <w:tr>
        <w:trPr>
          <w:trHeight w:val="218"/>
        </w:trPr>
        <w:tc>
          <w:tcPr>
            <w:tcW w:w="6820" w:type="dxa"/>
            <w:vAlign w:val="bottom"/>
            <w:gridSpan w:val="3"/>
          </w:tcPr>
          <w:p>
            <w:pPr>
              <w:ind w:left="140"/>
              <w:spacing w:after="0"/>
              <w:rPr>
                <w:sz w:val="20"/>
                <w:szCs w:val="20"/>
                <w:color w:val="auto"/>
              </w:rPr>
            </w:pPr>
            <w:r>
              <w:rPr>
                <w:rFonts w:ascii="Arial" w:cs="Arial" w:eastAsia="Arial" w:hAnsi="Arial"/>
                <w:sz w:val="17"/>
                <w:szCs w:val="17"/>
                <w:color w:val="auto"/>
              </w:rPr>
              <w:t>Taxes paid by Company for employee stock plans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20"/>
        </w:trPr>
        <w:tc>
          <w:tcPr>
            <w:tcW w:w="68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Proceeds from sale of common stock</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1"/>
        </w:trPr>
        <w:tc>
          <w:tcPr>
            <w:tcW w:w="682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(57,021)</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(3,419)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40,017</w:t>
            </w:r>
          </w:p>
        </w:tc>
        <w:tc>
          <w:tcPr>
            <w:tcW w:w="0" w:type="dxa"/>
            <w:vAlign w:val="bottom"/>
          </w:tcPr>
          <w:p>
            <w:pPr>
              <w:spacing w:after="0"/>
              <w:rPr>
                <w:sz w:val="1"/>
                <w:szCs w:val="1"/>
                <w:color w:val="auto"/>
              </w:rPr>
            </w:pPr>
          </w:p>
        </w:tc>
      </w:tr>
      <w:tr>
        <w:trPr>
          <w:trHeight w:val="213"/>
        </w:trPr>
        <w:tc>
          <w:tcPr>
            <w:tcW w:w="6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218"/>
        </w:trPr>
        <w:tc>
          <w:tcPr>
            <w:tcW w:w="682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color w:val="auto"/>
              </w:rPr>
              <w:t>Cash, cash equivalents and restricted cash, beginning of period</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1,465</w:t>
            </w:r>
          </w:p>
        </w:tc>
        <w:tc>
          <w:tcPr>
            <w:tcW w:w="0" w:type="dxa"/>
            <w:vAlign w:val="bottom"/>
          </w:tcPr>
          <w:p>
            <w:pPr>
              <w:spacing w:after="0"/>
              <w:rPr>
                <w:sz w:val="1"/>
                <w:szCs w:val="1"/>
                <w:color w:val="auto"/>
              </w:rPr>
            </w:pPr>
          </w:p>
        </w:tc>
      </w:tr>
      <w:tr>
        <w:trPr>
          <w:trHeight w:val="238"/>
        </w:trPr>
        <w:tc>
          <w:tcPr>
            <w:tcW w:w="6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8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Supplemental disclosure of cash flow information: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2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Cash paid during the period for interest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16,888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10,130</w:t>
            </w:r>
          </w:p>
        </w:tc>
        <w:tc>
          <w:tcPr>
            <w:tcW w:w="0" w:type="dxa"/>
            <w:vAlign w:val="bottom"/>
          </w:tcPr>
          <w:p>
            <w:pPr>
              <w:spacing w:after="0"/>
              <w:rPr>
                <w:sz w:val="1"/>
                <w:szCs w:val="1"/>
                <w:color w:val="auto"/>
              </w:rPr>
            </w:pPr>
          </w:p>
        </w:tc>
      </w:tr>
      <w:tr>
        <w:trPr>
          <w:trHeight w:val="238"/>
        </w:trPr>
        <w:tc>
          <w:tcPr>
            <w:tcW w:w="68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Cash paid during the period for income taxes, net of refunds received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7"/>
                <w:szCs w:val="17"/>
                <w:color w:val="auto"/>
              </w:rPr>
              <w:t>Supplemental disclosure of non-cash investing and financing activities: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8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Purchases of property and equipment on trade vendor credit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2,820</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5" w:name="page56"/>
    <w:bookmarkEnd w:id="55"/>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LIFECORE BIOMEDICAL,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6" w:lineRule="exact"/>
        <w:rPr>
          <w:sz w:val="20"/>
          <w:szCs w:val="20"/>
          <w:color w:val="auto"/>
        </w:rPr>
      </w:pPr>
    </w:p>
    <w:p>
      <w:pPr>
        <w:ind w:right="3760" w:firstLine="3"/>
        <w:spacing w:after="0" w:line="462" w:lineRule="auto"/>
        <w:tabs>
          <w:tab w:leader="none" w:pos="301"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Basis of Presentation, and Summary of Significant Accounting Policies, As Restated Organization</w:t>
      </w:r>
    </w:p>
    <w:p>
      <w:pPr>
        <w:spacing w:after="0" w:line="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Landec Corporation and its subsidiaries (“Landec” or the “Company”) design, develop, manufacture, and sell differentiated products for food and biomaterials markets, and license technology applications to partners.</w:t>
      </w:r>
    </w:p>
    <w:p>
      <w:pPr>
        <w:spacing w:after="0" w:line="13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Landec’s biomedical company, Lifecore Biomedical, Inc. (“Lifecore”), is a fully integrated contract development and manufacturing organization (“CDMO”) that offers highly differentiated capabilities in the development, fill and finish of sterile, injectable-grade pharmaceutical products in syringes and vials. As a leading manufacturer of premium, injectable grade Hyaluronic Acid, Lifecore brings 37 years of expertise as a partner for global and emerging biopharmaceutical and biotechnology companies across multiple therapeutic categories to bring their innovations to market. Lifecore recognizes revenue in two different product categories, CDMO and Fermentation.</w:t>
      </w:r>
    </w:p>
    <w:p>
      <w:pPr>
        <w:spacing w:after="0" w:line="14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Landec’s natural food company, Curation Foods, Inc. (“Curation Foods”), is focused on innovating and distributing plant-based foods with 100% clean ingredients to retail, club and foodservice channels throughout North America. Its products are sold in natural food, conventional grocery and mass retail stores, primarily in the United States and Canada. The company categorizes revenue in three categories, avocado products, olive oil and wine vinegars and technology which reports revenues for BreatheWay patented supply chain solutions.</w:t>
      </w:r>
    </w:p>
    <w:p>
      <w:pPr>
        <w:spacing w:after="0" w:line="13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November 14, 2022, the Company changed its name from “Landec Corporation” to “Lifecore Biomedical, Inc.” Currently therewith, the Company also changed the name of its wholly owned subsidiary from “Lifecore Biomedical, Inc.” to “Lifecore Biomedical Operating Company, Inc.” Unless context otherwise requires, all references to “Landec Corporation” or “Landec” contained in the Annual Report refer to the Company, and all references to “Lifecore Biomedical, Inc.,” “Lifecore Biomedical,” or “Lifecore” refer to Lifecore Biomedical Operating Company, Inc.</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Eat Smart Sale and Discontinued Operations</w:t>
      </w:r>
    </w:p>
    <w:p>
      <w:pPr>
        <w:spacing w:after="0" w:line="18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On December 13, 2021 (the “Closing Date”), Landec and Curation Foods (together, the “Sellers”), and Taylor Farms Retail, Inc. (“Taylor Farms” and together with the Sellers, the “Parties”) completed the sale (the “Eat Smart Disposition”) of Curation Foods’ Eat Smart business, including its salad and cut vegetable businesses (the “Business”), pursuant to the terms of an asset purchase agreement executed by the Parties on December 13, 2021 (the “Asset Purchase Agreement”). Pursuant to the Asset Purchase Agreement, Taylor Farms acquired the Business for a purchase price of $73.5 million, subject to post-closing adjustments based upon negotiation of the net working capital balances at the Closing Date. As part of the Eat Smart Disposition, Taylor Farms acquired, among other assets and liabilities related to the Business, the manufacturing facility and warehouses (and corresponding equipment) located in Bowling Green, Ohio and Guadalupe, California, as well as inventory, accounts receivable, accounts payable, intellectual property and information related to the Business, and assumed certain liabilities and executory obligations under the Company’s and Curation Foods’ outstanding contracts related to the Business, in each case, subject to the terms of the Asset Purchase Agreement.</w:t>
      </w:r>
    </w:p>
    <w:p>
      <w:pPr>
        <w:spacing w:after="0" w:line="14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 xml:space="preserve">Following the Eat Smart Disposition, Curation Foods retains its </w:t>
      </w:r>
      <w:r>
        <w:rPr>
          <w:rFonts w:ascii="Arial" w:cs="Arial" w:eastAsia="Arial" w:hAnsi="Arial"/>
          <w:sz w:val="17"/>
          <w:szCs w:val="17"/>
          <w:i w:val="1"/>
          <w:iCs w:val="1"/>
          <w:color w:val="auto"/>
        </w:rPr>
        <w:t>O</w:t>
      </w:r>
      <w:r>
        <w:rPr>
          <w:rFonts w:ascii="Arial" w:cs="Arial" w:eastAsia="Arial" w:hAnsi="Arial"/>
          <w:sz w:val="17"/>
          <w:szCs w:val="17"/>
          <w:color w:val="auto"/>
        </w:rPr>
        <w:t xml:space="preserve"> Olive Oil &amp; Vinegar (“</w:t>
      </w:r>
      <w:r>
        <w:rPr>
          <w:rFonts w:ascii="Arial" w:cs="Arial" w:eastAsia="Arial" w:hAnsi="Arial"/>
          <w:sz w:val="17"/>
          <w:szCs w:val="17"/>
          <w:i w:val="1"/>
          <w:iCs w:val="1"/>
          <w:color w:val="auto"/>
        </w:rPr>
        <w:t>O</w:t>
      </w:r>
      <w:r>
        <w:rPr>
          <w:rFonts w:ascii="Arial" w:cs="Arial" w:eastAsia="Arial" w:hAnsi="Arial"/>
          <w:sz w:val="17"/>
          <w:szCs w:val="17"/>
          <w:color w:val="auto"/>
        </w:rPr>
        <w:t>”) and Yucatan Foods businesses and its rights and interests in BreatheWay, and the Company retains its Lifecore business.</w:t>
      </w:r>
    </w:p>
    <w:p>
      <w:pPr>
        <w:spacing w:after="0" w:line="13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During the third quarter of its fiscal year, the Company used net proceeds from the Eat Smart Disposition to repay $67.9 million in borrowings under the Company’s existing credit agreements.</w:t>
      </w:r>
    </w:p>
    <w:p>
      <w:pPr>
        <w:spacing w:after="0" w:line="12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accounting requirements for reporting the Eat Smart business as a discontinued operation were met when the Eat Smart Disposition was completed on the Closing Date. Accordingly, the consolidated financial statements and notes to the consolidated financial statements reflect the results of the Eat Smart business as a discontinued operation for all periods presented. A loss of $0.3 million from the Eat Smart Disposition is included in Loss from discontinued operations, net of tax, within the Consolidated Statements of Operations during the fiscal year ended May 29, 2022. Refer to Note 12 - Discontinued Operations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6" w:name="page57"/>
    <w:bookmarkEnd w:id="56"/>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773"/>
        <w:spacing w:after="0" w:line="266" w:lineRule="auto"/>
        <w:rPr>
          <w:sz w:val="20"/>
          <w:szCs w:val="20"/>
          <w:color w:val="auto"/>
        </w:rPr>
      </w:pPr>
      <w:r>
        <w:rPr>
          <w:rFonts w:ascii="Arial" w:cs="Arial" w:eastAsia="Arial" w:hAnsi="Arial"/>
          <w:sz w:val="17"/>
          <w:szCs w:val="17"/>
          <w:color w:val="auto"/>
        </w:rPr>
        <w:t>The consolidated financial statements are presented on the accrual basis of accounting in accordance with U.S. Generally Accepted Accounting Principles (“GAAP”) and include the accounts of Landec Corporation and its subsidiaries, Curation Foods and Lifecore. All material inter-company transactions and balances have been eliminated.</w:t>
      </w:r>
    </w:p>
    <w:p>
      <w:pPr>
        <w:spacing w:after="0" w:line="136" w:lineRule="exact"/>
        <w:rPr>
          <w:sz w:val="20"/>
          <w:szCs w:val="20"/>
          <w:color w:val="auto"/>
        </w:rPr>
      </w:pPr>
    </w:p>
    <w:p>
      <w:pPr>
        <w:jc w:val="both"/>
        <w:ind w:firstLine="773"/>
        <w:spacing w:after="0" w:line="262" w:lineRule="auto"/>
        <w:rPr>
          <w:sz w:val="20"/>
          <w:szCs w:val="20"/>
          <w:color w:val="auto"/>
        </w:rPr>
      </w:pPr>
      <w:r>
        <w:rPr>
          <w:rFonts w:ascii="Arial" w:cs="Arial" w:eastAsia="Arial" w:hAnsi="Arial"/>
          <w:sz w:val="17"/>
          <w:szCs w:val="17"/>
          <w:color w:val="auto"/>
        </w:rPr>
        <w:t>The Company’s fiscal year is the 52- or 53-week period that ends on the last Sunday of May with quarters within each year ending on the last Sunday of August, November, and February; however, in instances where the last Sunday would result in a quarter being 12-weeks in length, the Company’s policy is to extend that quarter to the following Sunday. A 14th week is included in the fiscal year every five or six years to realign the Company’s fiscal quarters with calendar quarters.</w:t>
      </w:r>
    </w:p>
    <w:p>
      <w:pPr>
        <w:spacing w:after="0" w:line="139" w:lineRule="exact"/>
        <w:rPr>
          <w:sz w:val="20"/>
          <w:szCs w:val="20"/>
          <w:color w:val="auto"/>
        </w:rPr>
      </w:pPr>
    </w:p>
    <w:p>
      <w:pPr>
        <w:jc w:val="both"/>
        <w:ind w:firstLine="773"/>
        <w:spacing w:after="0" w:line="279" w:lineRule="auto"/>
        <w:rPr>
          <w:sz w:val="20"/>
          <w:szCs w:val="20"/>
          <w:color w:val="auto"/>
        </w:rPr>
      </w:pPr>
      <w:r>
        <w:rPr>
          <w:rFonts w:ascii="Arial" w:cs="Arial" w:eastAsia="Arial" w:hAnsi="Arial"/>
          <w:sz w:val="17"/>
          <w:szCs w:val="17"/>
          <w:color w:val="auto"/>
        </w:rPr>
        <w:t>Arrangements that are not controlled through voting or similar rights are reviewed under the guidance for variable interest entities (“VIEs”). A company is required to consolidate the assets, liabilities and operations of a VIE if it is determined to be the primary beneficiary of the VIE.</w:t>
      </w:r>
    </w:p>
    <w:p>
      <w:pPr>
        <w:spacing w:after="0" w:line="139" w:lineRule="exact"/>
        <w:rPr>
          <w:sz w:val="20"/>
          <w:szCs w:val="20"/>
          <w:color w:val="auto"/>
        </w:rPr>
      </w:pPr>
    </w:p>
    <w:p>
      <w:pPr>
        <w:jc w:val="both"/>
        <w:ind w:firstLine="773"/>
        <w:spacing w:after="0" w:line="258" w:lineRule="auto"/>
        <w:rPr>
          <w:sz w:val="20"/>
          <w:szCs w:val="20"/>
          <w:color w:val="auto"/>
        </w:rPr>
      </w:pPr>
      <w:r>
        <w:rPr>
          <w:rFonts w:ascii="Arial" w:cs="Arial" w:eastAsia="Arial" w:hAnsi="Arial"/>
          <w:sz w:val="17"/>
          <w:szCs w:val="17"/>
          <w:color w:val="auto"/>
        </w:rPr>
        <w:t>An entity is a VIE and subject to consolidation, if by design: a) the total equity investment at risk is not sufficient to permit the entity to finance its activities without additional subordinated financial support provided by any parties, including equity holders or b) as a group the holders of the equity investment at risk lack any one of the following three characteristics: (i) the power, through voting rights or similar rights to direct the activities of an entity that most significantly impact the entity’s economic performance, (ii) the obligation to absorb the expected losses of the entity, or (iii) the right to receive the expected residual returns of the entity. The Company reviewed the consolidation guidance and concluded that the equity investment in the non-public company by the Company is not a VIE.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184" w:lineRule="exact"/>
        <w:rPr>
          <w:sz w:val="20"/>
          <w:szCs w:val="20"/>
          <w:color w:val="auto"/>
        </w:rPr>
      </w:pPr>
    </w:p>
    <w:p>
      <w:pPr>
        <w:jc w:val="both"/>
        <w:ind w:firstLine="773"/>
        <w:spacing w:after="0" w:line="262" w:lineRule="auto"/>
        <w:rPr>
          <w:sz w:val="20"/>
          <w:szCs w:val="20"/>
          <w:color w:val="auto"/>
        </w:rPr>
      </w:pPr>
      <w:r>
        <w:rPr>
          <w:rFonts w:ascii="Arial" w:cs="Arial" w:eastAsia="Arial" w:hAnsi="Arial"/>
          <w:sz w:val="17"/>
          <w:szCs w:val="17"/>
          <w:color w:val="auto"/>
        </w:rPr>
        <w:t>As of May 29, 2022, the Company had cash and cash equivalents of $1.6 million and outstanding borrowings of $138.2 million, net of issuance costs, and as of November 27, 2022, the Company had cash and cash equivalents of $6.8 million and outstanding borrowings of $147.0 million, net of issuance costs. The Company continues to experience unfavorable market conditions leading to lower than projected sales proceeds from the disposition of its Curation Foods businesses.</w:t>
      </w:r>
    </w:p>
    <w:p>
      <w:pPr>
        <w:spacing w:after="0" w:line="152" w:lineRule="exact"/>
        <w:rPr>
          <w:sz w:val="20"/>
          <w:szCs w:val="20"/>
          <w:color w:val="auto"/>
        </w:rPr>
      </w:pPr>
    </w:p>
    <w:p>
      <w:pPr>
        <w:jc w:val="both"/>
        <w:ind w:firstLine="773"/>
        <w:spacing w:after="0" w:line="266" w:lineRule="auto"/>
        <w:rPr>
          <w:sz w:val="20"/>
          <w:szCs w:val="20"/>
          <w:color w:val="auto"/>
        </w:rPr>
      </w:pPr>
      <w:r>
        <w:rPr>
          <w:rFonts w:ascii="Arial" w:cs="Arial" w:eastAsia="Arial" w:hAnsi="Arial"/>
          <w:sz w:val="17"/>
          <w:szCs w:val="17"/>
          <w:color w:val="auto"/>
        </w:rPr>
        <w:t>The Company performed an assessment, which occurred on the date of the filing of this Form 10-K/A, to determine whether there were conditions or events that, considered in the aggregate, raised substantial doubt about the Company’s ability to continue as a going concern within one year following the date the accompanying consolidated financial statements are being re- issued (the “Amended Filing Date”).</w:t>
      </w:r>
    </w:p>
    <w:p>
      <w:pPr>
        <w:spacing w:after="0" w:line="136" w:lineRule="exact"/>
        <w:rPr>
          <w:sz w:val="20"/>
          <w:szCs w:val="20"/>
          <w:color w:val="auto"/>
        </w:rPr>
      </w:pPr>
    </w:p>
    <w:p>
      <w:pPr>
        <w:jc w:val="both"/>
        <w:ind w:firstLine="773"/>
        <w:spacing w:after="0" w:line="259" w:lineRule="auto"/>
        <w:rPr>
          <w:sz w:val="20"/>
          <w:szCs w:val="20"/>
          <w:color w:val="auto"/>
        </w:rPr>
      </w:pPr>
      <w:r>
        <w:rPr>
          <w:rFonts w:ascii="Arial" w:cs="Arial" w:eastAsia="Arial" w:hAnsi="Arial"/>
          <w:sz w:val="17"/>
          <w:szCs w:val="17"/>
          <w:color w:val="auto"/>
        </w:rPr>
        <w:t>The Company’s ability to meet its liquidity needs for one year following the Amended Filing Date will largely depend on its ability to generate cash in the future. As of November 27, 2022, the Company incurred net losses of $23.8 million, and the Company’s ability to generate cash in the future is subject to general economic, financial, competitive, legislative, regulatory, and other factors that are beyond the Company’s control. Based on the Company’s financial projections as of the Amended Filing Date, the Company does not believe that it will have adequate liquidity to meet its obligations for at least one year following the Amended Filing Date.</w:t>
      </w:r>
    </w:p>
    <w:p>
      <w:pPr>
        <w:spacing w:after="0" w:line="144" w:lineRule="exact"/>
        <w:rPr>
          <w:sz w:val="20"/>
          <w:szCs w:val="20"/>
          <w:color w:val="auto"/>
        </w:rPr>
      </w:pPr>
    </w:p>
    <w:p>
      <w:pPr>
        <w:jc w:val="both"/>
        <w:ind w:firstLine="773"/>
        <w:spacing w:after="0" w:line="258" w:lineRule="auto"/>
        <w:rPr>
          <w:sz w:val="20"/>
          <w:szCs w:val="20"/>
          <w:color w:val="auto"/>
        </w:rPr>
      </w:pPr>
      <w:r>
        <w:rPr>
          <w:rFonts w:ascii="Arial" w:cs="Arial" w:eastAsia="Arial" w:hAnsi="Arial"/>
          <w:sz w:val="17"/>
          <w:szCs w:val="17"/>
          <w:color w:val="auto"/>
        </w:rPr>
        <w:t>The Company further considered how these factors and uncertainties have and could impact its ability to meet the obligations specified in the New Credit Agreements with the Lenders (each as defined in Note 6 - Debt) for at least one year following the Amended Filing Date. As of the Amended Filing Date, the Company determined that it was not in compliance with the covenant under the New Credit Agreements requiring the timely filing of financial statements. In addition, the inclusion of a going concern explanatory paragraph in the auditor’s report issued by Ernst and Young LLP in connection with the restated audited financial statements for the year ended May 29, 2022 included in this Annual Report on Form 10-K/A also violates the covenants under the New Credit Agreements.</w:t>
      </w:r>
    </w:p>
    <w:p>
      <w:pPr>
        <w:spacing w:after="0" w:line="157" w:lineRule="exact"/>
        <w:rPr>
          <w:sz w:val="20"/>
          <w:szCs w:val="20"/>
          <w:color w:val="auto"/>
        </w:rPr>
      </w:pPr>
    </w:p>
    <w:p>
      <w:pPr>
        <w:jc w:val="both"/>
        <w:ind w:firstLine="773"/>
        <w:spacing w:after="0" w:line="273" w:lineRule="auto"/>
        <w:rPr>
          <w:sz w:val="20"/>
          <w:szCs w:val="20"/>
          <w:color w:val="auto"/>
        </w:rPr>
      </w:pPr>
      <w:r>
        <w:rPr>
          <w:rFonts w:ascii="Arial" w:cs="Arial" w:eastAsia="Arial" w:hAnsi="Arial"/>
          <w:sz w:val="16"/>
          <w:szCs w:val="16"/>
          <w:color w:val="auto"/>
        </w:rPr>
        <w:t>In addition, based on the Company’s current financial projections for the one-year period following the Amended Filing Date, the Company anticipates that it will not be in compliance with certain financial covenants under the New Credit Agreements during the one-year period following the Amended Filing Date, including the minimum fixed charge coverage ratio covenant for the fiscal quarters ending May 30, 2023 through November 30, 2023; the maximum leverage ratio covenant as of the fiscal quarters ending May 30, 2023 through November 30, 2023; the minimum liquidity covenant for each of the fiscal quarters ended as of February 26, 2023 through May 30, 2024; and the minimum Lifecore gross profit covenant for the fiscal quarters ending February 26, 2023 through August 30, 2023. Pursuant to the terms of the New Credit Agreements, as a result of the Company’s failure to comply with the covenants described above, the agents and the lenders under the New Credit Agreements are entitled to immediately cancel all unfunded commitments and to accelerate the maturity of all of the outstanding debt thereunder, at which time all such outstanding borrowings would become immediately due and payable by the Company. In addition, as a result of such defaults, under the New Credit Agreements, the Company will be subject to increased interest rates for any outstanding borrowings thereunder prior to repayment and, even if the agent and the lenders under the Refinance Revolver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7" w:name="page58"/>
    <w:bookmarkEnd w:id="57"/>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defined in Note 6 – Debt) do not exercise their rights to immediately accelerate all outstanding obligations, such lenders may refuse to fund additional borrowings thereunder, which the Company relies upon for short-term liquidity needs.</w:t>
      </w:r>
    </w:p>
    <w:p>
      <w:pPr>
        <w:spacing w:after="0" w:line="126" w:lineRule="exact"/>
        <w:rPr>
          <w:sz w:val="20"/>
          <w:szCs w:val="20"/>
          <w:color w:val="auto"/>
        </w:rPr>
      </w:pPr>
    </w:p>
    <w:p>
      <w:pPr>
        <w:jc w:val="both"/>
        <w:ind w:firstLine="773"/>
        <w:spacing w:after="0" w:line="276" w:lineRule="auto"/>
        <w:rPr>
          <w:sz w:val="20"/>
          <w:szCs w:val="20"/>
          <w:color w:val="auto"/>
        </w:rPr>
      </w:pPr>
      <w:r>
        <w:rPr>
          <w:rFonts w:ascii="Arial" w:cs="Arial" w:eastAsia="Arial" w:hAnsi="Arial"/>
          <w:sz w:val="16"/>
          <w:szCs w:val="16"/>
          <w:color w:val="auto"/>
        </w:rPr>
        <w:t>Although the Company is currently in default, as of the Amended Filing Date, the agents and the Lenders have not taken any action to accelerate the maturity of the debt under the New Credit Agreements, nor have the Lenders under the Refinance Revolver indicated that they intend to prevent the Company from incurring additional borrowings thereunder. In such an event, however, the Company does not currently have sufficient liquidity to fund payment of the amounts that would be due under the New Credit Agreements nor does management have projected future cash flows to repay these outstanding borrowings under the New Credit Agreements if such amounts were to become payable. The Company’s inability to raise additional capital on acceptable terms in the near future, whether for purposes of funding payments required under the New Credit Agreements or providing additional liquidity needed for its operations, could have a material adverse effect on its business, results of operations, liquidity and financial condition.</w:t>
      </w:r>
    </w:p>
    <w:p>
      <w:pPr>
        <w:spacing w:after="0" w:line="130" w:lineRule="exact"/>
        <w:rPr>
          <w:sz w:val="20"/>
          <w:szCs w:val="20"/>
          <w:color w:val="auto"/>
        </w:rPr>
      </w:pPr>
    </w:p>
    <w:p>
      <w:pPr>
        <w:jc w:val="both"/>
        <w:ind w:firstLine="773"/>
        <w:spacing w:after="0" w:line="258" w:lineRule="auto"/>
        <w:rPr>
          <w:sz w:val="20"/>
          <w:szCs w:val="20"/>
          <w:color w:val="auto"/>
        </w:rPr>
      </w:pPr>
      <w:r>
        <w:rPr>
          <w:rFonts w:ascii="Arial" w:cs="Arial" w:eastAsia="Arial" w:hAnsi="Arial"/>
          <w:sz w:val="17"/>
          <w:szCs w:val="17"/>
          <w:color w:val="auto"/>
        </w:rPr>
        <w:t>In response to these conditions, the Company is currently in negotiations with the Lenders to seek a forbearance and amendment agreement to remedy the Company’s current and anticipated noncompliance with its covenants under the New Credit Agreements. The Company also intends to conduct a review of its strategic alternatives, which may involve seeking additional or alternative financing or the sale of all or a portion the Company. These processes are ongoing, however, and there can be no assurances that they will result in the completion of any such amendment, transaction or other alternative that would alleviate such conditions under the New Credit Agreements or the circumstances that give rise to substantial doubt about the Company’s ability to continue as a going concern for the twelve-month period following the Amended Filing Date.</w:t>
      </w:r>
    </w:p>
    <w:p>
      <w:pPr>
        <w:spacing w:after="0" w:line="157" w:lineRule="exact"/>
        <w:rPr>
          <w:sz w:val="20"/>
          <w:szCs w:val="20"/>
          <w:color w:val="auto"/>
        </w:rPr>
      </w:pPr>
    </w:p>
    <w:p>
      <w:pPr>
        <w:jc w:val="both"/>
        <w:ind w:firstLine="773"/>
        <w:spacing w:after="0" w:line="259" w:lineRule="auto"/>
        <w:rPr>
          <w:sz w:val="20"/>
          <w:szCs w:val="20"/>
          <w:color w:val="auto"/>
        </w:rPr>
      </w:pPr>
      <w:r>
        <w:rPr>
          <w:rFonts w:ascii="Arial" w:cs="Arial" w:eastAsia="Arial" w:hAnsi="Arial"/>
          <w:sz w:val="17"/>
          <w:szCs w:val="17"/>
          <w:color w:val="auto"/>
        </w:rPr>
        <w:t>Accordingly, the Company determined that it cannot be certain that the Company’s plans and initiatives would be effectively implemented within one year after the Amended Filing Date. Without giving effect to the Company’s plans and initiatives, it is unlikely that the Company will be able to generate sufficient cash flows to meet its required financial obligations, including its debt service and other obligations due to third parties within one year after the Amended Filing Date. The existence of these conditions and events raise substantial doubt about the Company’s ability to continue as a going concern for the twelve-month period following the Amended Filing Date.</w:t>
      </w:r>
    </w:p>
    <w:p>
      <w:pPr>
        <w:spacing w:after="0" w:line="144" w:lineRule="exact"/>
        <w:rPr>
          <w:sz w:val="20"/>
          <w:szCs w:val="20"/>
          <w:color w:val="auto"/>
        </w:rPr>
      </w:pPr>
    </w:p>
    <w:p>
      <w:pPr>
        <w:jc w:val="both"/>
        <w:ind w:firstLine="773"/>
        <w:spacing w:after="0" w:line="283" w:lineRule="auto"/>
        <w:rPr>
          <w:sz w:val="20"/>
          <w:szCs w:val="20"/>
          <w:color w:val="auto"/>
        </w:rPr>
      </w:pPr>
      <w:r>
        <w:rPr>
          <w:rFonts w:ascii="Arial" w:cs="Arial" w:eastAsia="Arial" w:hAnsi="Arial"/>
          <w:sz w:val="16"/>
          <w:szCs w:val="16"/>
          <w:color w:val="auto"/>
        </w:rPr>
        <w:t>These audited consolidated financial statements have been prepared assuming the Company will continue as a going concern, which contemplates continuity of operations, realization of assets and the satisfaction of liabilities in the normal course of business for one year following the Amended Filing Date. As such, the accompanying audited consolidated financial statements do not include any adjustments relating to the recoverability and classification of assets and their carrying amounts, or the amount and classification of liabilities that may result should the Company be unable to continue as a going concern.</w:t>
      </w:r>
    </w:p>
    <w:p>
      <w:pPr>
        <w:spacing w:after="0" w:line="125" w:lineRule="exact"/>
        <w:rPr>
          <w:sz w:val="20"/>
          <w:szCs w:val="20"/>
          <w:color w:val="auto"/>
        </w:rPr>
      </w:pPr>
    </w:p>
    <w:p>
      <w:pPr>
        <w:jc w:val="both"/>
        <w:ind w:firstLine="773"/>
        <w:spacing w:after="0" w:line="279" w:lineRule="auto"/>
        <w:rPr>
          <w:sz w:val="20"/>
          <w:szCs w:val="20"/>
          <w:color w:val="auto"/>
        </w:rPr>
      </w:pPr>
      <w:r>
        <w:rPr>
          <w:rFonts w:ascii="Arial" w:cs="Arial" w:eastAsia="Arial" w:hAnsi="Arial"/>
          <w:sz w:val="17"/>
          <w:szCs w:val="17"/>
          <w:color w:val="auto"/>
        </w:rPr>
        <w:t>As a result, all outstanding borrowings under the New Credit Agreements are classified as short term on the Consolidated Balance Sheet as of May 29, 2022 contained in these audited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Significant Accounting Policies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84" w:lineRule="exact"/>
        <w:rPr>
          <w:sz w:val="20"/>
          <w:szCs w:val="20"/>
          <w:color w:val="auto"/>
        </w:rPr>
      </w:pPr>
    </w:p>
    <w:p>
      <w:pPr>
        <w:jc w:val="both"/>
        <w:ind w:firstLine="773"/>
        <w:spacing w:after="0" w:line="259" w:lineRule="auto"/>
        <w:rPr>
          <w:sz w:val="20"/>
          <w:szCs w:val="20"/>
          <w:color w:val="auto"/>
        </w:rPr>
      </w:pPr>
      <w:r>
        <w:rPr>
          <w:rFonts w:ascii="Arial" w:cs="Arial" w:eastAsia="Arial" w:hAnsi="Arial"/>
          <w:sz w:val="17"/>
          <w:szCs w:val="17"/>
          <w:color w:val="auto"/>
        </w:rPr>
        <w:t>The preparation of financial statements in conformity with GAAP requires management to make certain estimates and judgments that affect the amounts reported in the financial statements and accompanying notes. The accounting estimates that require management’s most significant and subjective judgments include revenue recognition; loss contingencies; sales returns and credit losses; recognition and measurement of current and deferred income tax assets and liabilities; the assessment of recoverability and measurement of fair value of long-lived and indefinite lived assets (including intangible assets and goodwill), and inventory; and the valuation and recognition of stock-based compensation.</w:t>
      </w:r>
    </w:p>
    <w:p>
      <w:pPr>
        <w:spacing w:after="0" w:line="144" w:lineRule="exact"/>
        <w:rPr>
          <w:sz w:val="20"/>
          <w:szCs w:val="20"/>
          <w:color w:val="auto"/>
        </w:rPr>
      </w:pPr>
    </w:p>
    <w:p>
      <w:pPr>
        <w:jc w:val="both"/>
        <w:ind w:firstLine="773"/>
        <w:spacing w:after="0" w:line="349" w:lineRule="auto"/>
        <w:rPr>
          <w:sz w:val="20"/>
          <w:szCs w:val="20"/>
          <w:color w:val="auto"/>
        </w:rPr>
      </w:pPr>
      <w:r>
        <w:rPr>
          <w:rFonts w:ascii="Arial" w:cs="Arial" w:eastAsia="Arial" w:hAnsi="Arial"/>
          <w:sz w:val="15"/>
          <w:szCs w:val="15"/>
          <w:color w:val="auto"/>
        </w:rPr>
        <w:t>These estimates involve the consideration of complex factors and require management to make judgments. The analysis of historical and future trends can require extended periods of time to resolve and are subject to change from period to period. The actual results may differ from management’s estimates.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 of Risk</w:t>
      </w:r>
    </w:p>
    <w:p>
      <w:pPr>
        <w:spacing w:after="0" w:line="184" w:lineRule="exact"/>
        <w:rPr>
          <w:sz w:val="20"/>
          <w:szCs w:val="20"/>
          <w:color w:val="auto"/>
        </w:rPr>
      </w:pPr>
    </w:p>
    <w:p>
      <w:pPr>
        <w:jc w:val="both"/>
        <w:ind w:firstLine="773"/>
        <w:spacing w:after="0" w:line="307" w:lineRule="auto"/>
        <w:rPr>
          <w:sz w:val="20"/>
          <w:szCs w:val="20"/>
          <w:color w:val="auto"/>
        </w:rPr>
      </w:pPr>
      <w:r>
        <w:rPr>
          <w:rFonts w:ascii="Arial" w:cs="Arial" w:eastAsia="Arial" w:hAnsi="Arial"/>
          <w:sz w:val="15"/>
          <w:szCs w:val="15"/>
          <w:color w:val="auto"/>
        </w:rPr>
        <w:t>Cash and cash equivalents and trade accounts receivable are financial instruments that potentially subject the Company to concentrations of credit risk. Our Company policy limits, among other things, the amount of credit exposure to any one issuer and to any one type of investment, other than securities issued or guaranteed by the U.S. government. The Company routinely assesses the financial strength of customers and, as a consequence, believes that trade receivables credit risk exposure is limited. Credit losses for bad debt are provided for in the consolidated financial statements through a charge to operations. A valuation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8" w:name="page59"/>
    <w:bookmarkEnd w:id="58"/>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allowance is provided for known and anticipated credit losses. The recorded amounts for these financial instruments approximate their fair value.</w:t>
      </w:r>
    </w:p>
    <w:p>
      <w:pPr>
        <w:spacing w:after="0" w:line="178" w:lineRule="exact"/>
        <w:rPr>
          <w:sz w:val="20"/>
          <w:szCs w:val="20"/>
          <w:color w:val="auto"/>
        </w:rPr>
      </w:pPr>
    </w:p>
    <w:p>
      <w:pPr>
        <w:jc w:val="both"/>
        <w:ind w:firstLine="773"/>
        <w:spacing w:after="0" w:line="279" w:lineRule="auto"/>
        <w:rPr>
          <w:sz w:val="20"/>
          <w:szCs w:val="20"/>
          <w:color w:val="auto"/>
        </w:rPr>
      </w:pPr>
      <w:r>
        <w:rPr>
          <w:rFonts w:ascii="Arial" w:cs="Arial" w:eastAsia="Arial" w:hAnsi="Arial"/>
          <w:sz w:val="17"/>
          <w:szCs w:val="17"/>
          <w:color w:val="auto"/>
        </w:rPr>
        <w:t>Several of the raw materials the Company uses to manufacture its products are currently purchased from a single source, including some monomers used to synthesize Intelimer polymers, substrate materials for its breathable membrane products, and raw materials for its HA products.</w:t>
      </w:r>
    </w:p>
    <w:p>
      <w:pPr>
        <w:spacing w:after="0" w:line="126" w:lineRule="exact"/>
        <w:rPr>
          <w:sz w:val="20"/>
          <w:szCs w:val="20"/>
          <w:color w:val="auto"/>
        </w:rPr>
      </w:pPr>
    </w:p>
    <w:p>
      <w:pPr>
        <w:jc w:val="both"/>
        <w:ind w:firstLine="773"/>
        <w:spacing w:after="0" w:line="290" w:lineRule="auto"/>
        <w:rPr>
          <w:sz w:val="20"/>
          <w:szCs w:val="20"/>
          <w:color w:val="auto"/>
        </w:rPr>
      </w:pPr>
      <w:r>
        <w:rPr>
          <w:rFonts w:ascii="Arial" w:cs="Arial" w:eastAsia="Arial" w:hAnsi="Arial"/>
          <w:sz w:val="16"/>
          <w:szCs w:val="16"/>
          <w:color w:val="auto"/>
        </w:rPr>
        <w:t>During the fiscal years ended May 29, 2022, May 30, 2021 and May 31, 2020 the Company had sales concentrations of 10% or greater from two customers, accounting for 16% and 13%, 18% and 13%, and 16% and 11%, respectively. The Company’s same two customers had accounts receivable concentrations of 10% or greater, accounting for 26% and 13% of accounts receivable as of May 29, 2022, and 18% and 16%, as of May 30, 2021.</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184" w:lineRule="exact"/>
        <w:rPr>
          <w:sz w:val="20"/>
          <w:szCs w:val="20"/>
          <w:color w:val="auto"/>
        </w:rPr>
      </w:pPr>
    </w:p>
    <w:p>
      <w:pPr>
        <w:jc w:val="both"/>
        <w:ind w:firstLine="773"/>
        <w:spacing w:after="0" w:line="262" w:lineRule="auto"/>
        <w:rPr>
          <w:sz w:val="20"/>
          <w:szCs w:val="20"/>
          <w:color w:val="auto"/>
        </w:rPr>
      </w:pPr>
      <w:r>
        <w:rPr>
          <w:rFonts w:ascii="Arial" w:cs="Arial" w:eastAsia="Arial" w:hAnsi="Arial"/>
          <w:sz w:val="17"/>
          <w:szCs w:val="17"/>
          <w:color w:val="auto"/>
        </w:rPr>
        <w:t>Long-lived assets are reviewed for impairment whenever events or changes in circumstances indicate that their carrying amounts may not be recoverable. Recoverability of assets is measured by comparison of the carrying amount of the asset to the net undiscounted future cash flow expected to be generated from the asset. If the future undiscounted cash flows are not sufficient to recover the carrying value of the assets, the assets’ carrying value is adjusted to fair value. The Company regularly evaluates its long-lived assets for indicators of possible impairment.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w:t>
      </w:r>
    </w:p>
    <w:p>
      <w:pPr>
        <w:spacing w:after="0" w:line="184" w:lineRule="exact"/>
        <w:rPr>
          <w:sz w:val="20"/>
          <w:szCs w:val="20"/>
          <w:color w:val="auto"/>
        </w:rPr>
      </w:pPr>
    </w:p>
    <w:p>
      <w:pPr>
        <w:jc w:val="both"/>
        <w:ind w:firstLine="773"/>
        <w:spacing w:after="0" w:line="266" w:lineRule="auto"/>
        <w:rPr>
          <w:sz w:val="20"/>
          <w:szCs w:val="20"/>
          <w:color w:val="auto"/>
        </w:rPr>
      </w:pPr>
      <w:r>
        <w:rPr>
          <w:rFonts w:ascii="Arial" w:cs="Arial" w:eastAsia="Arial" w:hAnsi="Arial"/>
          <w:sz w:val="17"/>
          <w:szCs w:val="17"/>
          <w:color w:val="auto"/>
        </w:rPr>
        <w:t>The Company’s financial instruments are primarily composed of commercial-term trade payables, debt instruments, and derivative instruments. For short-term instruments, the historical carrying amount approximates the fair value of the instrument. The fair value of long-term debt and lines of credit approximates their carrying value.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Hedges</w:t>
      </w:r>
    </w:p>
    <w:p>
      <w:pPr>
        <w:spacing w:after="0" w:line="178" w:lineRule="exact"/>
        <w:rPr>
          <w:sz w:val="20"/>
          <w:szCs w:val="20"/>
          <w:color w:val="auto"/>
        </w:rPr>
      </w:pPr>
    </w:p>
    <w:p>
      <w:pPr>
        <w:jc w:val="both"/>
        <w:ind w:firstLine="773"/>
        <w:spacing w:after="0" w:line="262" w:lineRule="auto"/>
        <w:rPr>
          <w:sz w:val="20"/>
          <w:szCs w:val="20"/>
          <w:color w:val="auto"/>
        </w:rPr>
      </w:pPr>
      <w:r>
        <w:rPr>
          <w:rFonts w:ascii="Arial" w:cs="Arial" w:eastAsia="Arial" w:hAnsi="Arial"/>
          <w:sz w:val="17"/>
          <w:szCs w:val="17"/>
          <w:color w:val="auto"/>
        </w:rPr>
        <w:t>The Company has entered into interest rate swap agreements to manage interest rate risk. These derivative instruments may offset a portion of the changes in interest expense. The Company designates these derivative instruments as cash flow hedges. The Company accounts for its derivative instruments as either an asset or a liability and carries them at fair value in Other assets or Other non-current liabilities. The accounting for changes in the fair value of the derivative instrument depends on the intended use of the derivative instrument and the resulting designation.</w:t>
      </w:r>
    </w:p>
    <w:p>
      <w:pPr>
        <w:spacing w:after="0" w:line="139" w:lineRule="exact"/>
        <w:rPr>
          <w:sz w:val="20"/>
          <w:szCs w:val="20"/>
          <w:color w:val="auto"/>
        </w:rPr>
      </w:pPr>
    </w:p>
    <w:p>
      <w:pPr>
        <w:jc w:val="both"/>
        <w:ind w:firstLine="773"/>
        <w:spacing w:after="0" w:line="259" w:lineRule="auto"/>
        <w:rPr>
          <w:sz w:val="20"/>
          <w:szCs w:val="20"/>
          <w:color w:val="auto"/>
        </w:rPr>
      </w:pPr>
      <w:r>
        <w:rPr>
          <w:rFonts w:ascii="Arial" w:cs="Arial" w:eastAsia="Arial" w:hAnsi="Arial"/>
          <w:sz w:val="17"/>
          <w:szCs w:val="17"/>
          <w:color w:val="auto"/>
        </w:rPr>
        <w:t>For derivative instruments that hedge the exposure to variability in expected future cash flows and are designated as cash flow hedges, the entire change in the fair value of the hedging instrument is recorded as a component of Accumulated other comprehensive loss (“AOCL”) in Stockholders’ Equity. Those amounts are subsequently reclassified to earnings in the same line item in the Consolidated Statement of Operations as impacted when the hedged item affects earnings. To receive hedge accounting treatment, cash flow hedges must be highly effective in offsetting changes to expected future cash flows on hedged transactions.</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During the third quarter of fiscal year 2021, the Company discontinued its hedge accounting prospectively since it was determined that the derivatives are no longer highly effective in offsetting changes in the net investment. The derivatives continue to be carried at fair value in the accompanying Consolidated Balance Sheets with changes in their fair values from the date of discontinued hedge accounting recognized in current period earnings in Other income (expense), net in the Consolidated Statements of Operations. Amounts previously accumulated in AOCL during the period of effectiveness will continue to be realized over the remaining term of the underlying forecasted debt payments as a component of AOCL in Stockholders’ Equity.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Accumulated Other Comprehensive Loss</w:t>
      </w:r>
    </w:p>
    <w:p>
      <w:pPr>
        <w:spacing w:after="0" w:line="191" w:lineRule="exact"/>
        <w:rPr>
          <w:sz w:val="20"/>
          <w:szCs w:val="20"/>
          <w:color w:val="auto"/>
        </w:rPr>
      </w:pPr>
    </w:p>
    <w:p>
      <w:pPr>
        <w:jc w:val="both"/>
        <w:ind w:firstLine="773"/>
        <w:spacing w:after="0" w:line="290" w:lineRule="auto"/>
        <w:rPr>
          <w:sz w:val="20"/>
          <w:szCs w:val="20"/>
          <w:color w:val="auto"/>
        </w:rPr>
      </w:pPr>
      <w:r>
        <w:rPr>
          <w:rFonts w:ascii="Arial" w:cs="Arial" w:eastAsia="Arial" w:hAnsi="Arial"/>
          <w:sz w:val="16"/>
          <w:szCs w:val="16"/>
          <w:color w:val="auto"/>
        </w:rPr>
        <w:t>Comprehensive income consists of two components, Net loss and Other comprehensive (loss) income (“OCI”). OCI refers to revenue, expenses, and gains and losses that under GAAP are recorded as a component of stockholders’ equity but are excluded from net loss. The Company’s OCI consists of net deferred gains and losses on its interest rate swap derivative instruments. The components of AOCL, net of tax, are as follows (in thousands):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9" w:name="page60"/>
    <w:bookmarkEnd w:id="59"/>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9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rPr>
              <w:t>AOCL</w:t>
            </w:r>
          </w:p>
        </w:tc>
      </w:tr>
      <w:tr>
        <w:trPr>
          <w:trHeight w:val="213"/>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May 30, 2021</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w:t>
            </w:r>
          </w:p>
        </w:tc>
      </w:tr>
      <w:tr>
        <w:trPr>
          <w:trHeight w:val="218"/>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Amounts reclassified from OCI</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w:t>
            </w:r>
          </w:p>
        </w:tc>
      </w:tr>
      <w:tr>
        <w:trPr>
          <w:trHeight w:val="212"/>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 income, net</w:t>
            </w:r>
          </w:p>
        </w:tc>
        <w:tc>
          <w:tcPr>
            <w:tcW w:w="4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w:t>
            </w:r>
          </w:p>
        </w:tc>
      </w:tr>
      <w:tr>
        <w:trPr>
          <w:trHeight w:val="213"/>
        </w:trPr>
        <w:tc>
          <w:tcPr>
            <w:tcW w:w="8920" w:type="dxa"/>
            <w:vAlign w:val="bottom"/>
          </w:tcPr>
          <w:p>
            <w:pPr>
              <w:ind w:left="20"/>
              <w:spacing w:after="0"/>
              <w:rPr>
                <w:sz w:val="20"/>
                <w:szCs w:val="20"/>
                <w:color w:val="auto"/>
              </w:rPr>
            </w:pPr>
            <w:r>
              <w:rPr>
                <w:rFonts w:ascii="Arial" w:cs="Arial" w:eastAsia="Arial" w:hAnsi="Arial"/>
                <w:sz w:val="17"/>
                <w:szCs w:val="17"/>
                <w:color w:val="auto"/>
              </w:rPr>
              <w:t>Balance as of May 29, 2022</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r>
      <w:tr>
        <w:trPr>
          <w:trHeight w:val="20"/>
        </w:trPr>
        <w:tc>
          <w:tcPr>
            <w:tcW w:w="8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Company expects to reclassify approximately $0.6 million into earnings in the next 12 months.</w:t>
      </w:r>
    </w:p>
    <w:p>
      <w:pPr>
        <w:spacing w:after="0" w:line="191" w:lineRule="exact"/>
        <w:rPr>
          <w:sz w:val="20"/>
          <w:szCs w:val="20"/>
          <w:color w:val="auto"/>
        </w:rPr>
      </w:pPr>
    </w:p>
    <w:p>
      <w:pPr>
        <w:jc w:val="both"/>
        <w:ind w:firstLine="773"/>
        <w:spacing w:after="0" w:line="279" w:lineRule="auto"/>
        <w:rPr>
          <w:sz w:val="20"/>
          <w:szCs w:val="20"/>
          <w:color w:val="auto"/>
        </w:rPr>
      </w:pPr>
      <w:r>
        <w:rPr>
          <w:rFonts w:ascii="Arial" w:cs="Arial" w:eastAsia="Arial" w:hAnsi="Arial"/>
          <w:sz w:val="17"/>
          <w:szCs w:val="17"/>
          <w:color w:val="auto"/>
        </w:rPr>
        <w:t>Based on these assumptions, management believes the fair market values of the Company’s financial instruments are not significantly different from their recorded amounts as of May 29, 2022 and May 30, 2021.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 Sales Returns and Allowance for Credit Losses</w:t>
      </w:r>
    </w:p>
    <w:p>
      <w:pPr>
        <w:spacing w:after="0" w:line="236"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color w:val="auto"/>
        </w:rPr>
        <w:t>The Company carries its accounts receivable at their face amounts less an allowance for estimated sales returns and credit losses. Sales return allowances are estimated based on historical sales return amounts.</w:t>
      </w:r>
    </w:p>
    <w:p>
      <w:pPr>
        <w:spacing w:after="0" w:line="18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Company uses the loss rate method to estimate its expected credit losses on trade accounts receivable and contract assets. In order to estimate expected credit losses, the Company assessed recent historical experience, current economic conditions and any reasonable and supportable forecast to identify risk characteristics that are shared within the financial asset. These risk characteristics are then used to bifurcate the loss rate method into risk pools. The risk pools were determined based on the industries in which the Company operates. Historical credit loss for each risk pool is then applied to the current period aging as presented in the identified risk pool to determine the needed reserve allowance. At times when there are no current economic conditions or forecasts that may affect future credit losses, the Company has determined that recent historical experience provides the best basis for estimating credit losses.</w:t>
      </w:r>
    </w:p>
    <w:p>
      <w:pPr>
        <w:spacing w:after="0" w:line="185"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The information obtained from assessing historical experience, current economic conditions and reasonable and supportable forecasts were used to identify risk characteristics that can affect future credit loss experience. There were no significant risk characteristics identified in the review of historical experiences or in the review of estimates of current economic conditions and forecasts.</w:t>
      </w:r>
    </w:p>
    <w:p>
      <w:pPr>
        <w:spacing w:after="0" w:line="201"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7"/>
          <w:szCs w:val="17"/>
          <w:color w:val="auto"/>
        </w:rPr>
        <w:t>Estimating credit losses based on risk characteristics requires significant judgment by management. Significant judgments include, but are not limited to: assessing current economic conditions and the extent to which they are relevant to the existing characteristics of the Company’s financial assets, the estimated life of financial assets, and the level of reliance on historical experience in light of economic conditions. The Company will continually review and update, when necessary, its historical risk characteristics that are meaningful to estimating credit losses, any new risk characteristics that arise in the natural course of business, and the estimated life of its financial assets.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changes in the Company’s allowance for sales returns and credit losses are summarized in the following table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Balance at</w:t>
            </w:r>
          </w:p>
        </w:tc>
        <w:tc>
          <w:tcPr>
            <w:tcW w:w="1500" w:type="dxa"/>
            <w:vAlign w:val="bottom"/>
            <w:gridSpan w:val="3"/>
          </w:tcPr>
          <w:p>
            <w:pPr>
              <w:jc w:val="center"/>
              <w:ind w:right="100"/>
              <w:spacing w:after="0"/>
              <w:rPr>
                <w:sz w:val="20"/>
                <w:szCs w:val="20"/>
                <w:color w:val="auto"/>
              </w:rPr>
            </w:pPr>
            <w:r>
              <w:rPr>
                <w:rFonts w:ascii="Arial" w:cs="Arial" w:eastAsia="Arial" w:hAnsi="Arial"/>
                <w:sz w:val="17"/>
                <w:szCs w:val="17"/>
                <w:color w:val="auto"/>
                <w:w w:val="93"/>
              </w:rPr>
              <w:t>Provision (benefit)</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4"/>
              </w:rPr>
              <w:t>Write offs,</w:t>
            </w:r>
          </w:p>
        </w:tc>
        <w:tc>
          <w:tcPr>
            <w:tcW w:w="160" w:type="dxa"/>
            <w:vAlign w:val="bottom"/>
          </w:tcPr>
          <w:p>
            <w:pPr>
              <w:spacing w:after="0"/>
              <w:rPr>
                <w:sz w:val="16"/>
                <w:szCs w:val="16"/>
                <w:color w:val="auto"/>
              </w:rPr>
            </w:pPr>
          </w:p>
        </w:tc>
        <w:tc>
          <w:tcPr>
            <w:tcW w:w="1240" w:type="dxa"/>
            <w:vAlign w:val="bottom"/>
            <w:vMerge w:val="restart"/>
          </w:tcPr>
          <w:p>
            <w:pPr>
              <w:jc w:val="right"/>
              <w:ind w:right="254"/>
              <w:spacing w:after="0"/>
              <w:rPr>
                <w:sz w:val="20"/>
                <w:szCs w:val="20"/>
                <w:color w:val="auto"/>
              </w:rPr>
            </w:pPr>
            <w:r>
              <w:rPr>
                <w:rFonts w:ascii="Arial" w:cs="Arial" w:eastAsia="Arial" w:hAnsi="Arial"/>
                <w:sz w:val="17"/>
                <w:szCs w:val="17"/>
                <w:color w:val="auto"/>
              </w:rPr>
              <w:t>Balance at</w:t>
            </w: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60"/>
              <w:spacing w:after="0" w:line="167" w:lineRule="exact"/>
              <w:rPr>
                <w:sz w:val="20"/>
                <w:szCs w:val="20"/>
                <w:color w:val="auto"/>
              </w:rPr>
            </w:pPr>
            <w:r>
              <w:rPr>
                <w:rFonts w:ascii="Arial" w:cs="Arial" w:eastAsia="Arial" w:hAnsi="Arial"/>
                <w:sz w:val="17"/>
                <w:szCs w:val="17"/>
                <w:color w:val="auto"/>
                <w:w w:val="94"/>
              </w:rPr>
              <w:t>beginning of</w:t>
            </w:r>
          </w:p>
        </w:tc>
        <w:tc>
          <w:tcPr>
            <w:tcW w:w="1500" w:type="dxa"/>
            <w:vAlign w:val="bottom"/>
            <w:gridSpan w:val="3"/>
          </w:tcPr>
          <w:p>
            <w:pPr>
              <w:jc w:val="center"/>
              <w:ind w:right="100"/>
              <w:spacing w:after="0" w:line="167" w:lineRule="exact"/>
              <w:rPr>
                <w:sz w:val="20"/>
                <w:szCs w:val="20"/>
                <w:color w:val="auto"/>
              </w:rPr>
            </w:pPr>
            <w:r>
              <w:rPr>
                <w:rFonts w:ascii="Arial" w:cs="Arial" w:eastAsia="Arial" w:hAnsi="Arial"/>
                <w:sz w:val="17"/>
                <w:szCs w:val="17"/>
                <w:color w:val="auto"/>
                <w:w w:val="91"/>
              </w:rPr>
              <w:t>for expected credit</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line="167" w:lineRule="exact"/>
              <w:rPr>
                <w:sz w:val="20"/>
                <w:szCs w:val="20"/>
                <w:color w:val="auto"/>
              </w:rPr>
            </w:pPr>
            <w:r>
              <w:rPr>
                <w:rFonts w:ascii="Arial" w:cs="Arial" w:eastAsia="Arial" w:hAnsi="Arial"/>
                <w:sz w:val="17"/>
                <w:szCs w:val="17"/>
                <w:color w:val="auto"/>
                <w:w w:val="93"/>
              </w:rPr>
              <w:t>net of</w:t>
            </w: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period</w:t>
            </w:r>
          </w:p>
        </w:tc>
        <w:tc>
          <w:tcPr>
            <w:tcW w:w="30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7"/>
                <w:szCs w:val="17"/>
                <w:color w:val="auto"/>
                <w:w w:val="82"/>
              </w:rPr>
              <w:t>losses</w:t>
            </w: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recoveries</w:t>
            </w:r>
          </w:p>
        </w:tc>
        <w:tc>
          <w:tcPr>
            <w:tcW w:w="16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7"/>
                <w:szCs w:val="17"/>
                <w:color w:val="auto"/>
                <w:w w:val="98"/>
              </w:rPr>
              <w:t>end of period</w:t>
            </w:r>
          </w:p>
        </w:tc>
        <w:tc>
          <w:tcPr>
            <w:tcW w:w="0" w:type="dxa"/>
            <w:vAlign w:val="bottom"/>
          </w:tcPr>
          <w:p>
            <w:pPr>
              <w:spacing w:after="0"/>
              <w:rPr>
                <w:sz w:val="1"/>
                <w:szCs w:val="1"/>
                <w:color w:val="auto"/>
              </w:rPr>
            </w:pPr>
          </w:p>
        </w:tc>
      </w:tr>
      <w:tr>
        <w:trPr>
          <w:trHeight w:val="219"/>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 Ended May 31,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Arial" w:cs="Arial" w:eastAsia="Arial" w:hAnsi="Arial"/>
                <w:sz w:val="17"/>
                <w:szCs w:val="17"/>
                <w:color w:val="auto"/>
              </w:rPr>
              <w:t>Year Ended May 30, 2021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187</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May 29, 2022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Liabilities</w:t>
      </w:r>
    </w:p>
    <w:p>
      <w:pPr>
        <w:spacing w:after="0" w:line="191" w:lineRule="exact"/>
        <w:rPr>
          <w:sz w:val="20"/>
          <w:szCs w:val="20"/>
          <w:color w:val="auto"/>
        </w:rPr>
      </w:pPr>
    </w:p>
    <w:p>
      <w:pPr>
        <w:ind w:firstLine="773"/>
        <w:spacing w:after="0" w:line="279" w:lineRule="auto"/>
        <w:rPr>
          <w:sz w:val="20"/>
          <w:szCs w:val="20"/>
          <w:color w:val="auto"/>
        </w:rPr>
      </w:pPr>
      <w:r>
        <w:rPr>
          <w:rFonts w:ascii="Arial" w:cs="Arial" w:eastAsia="Arial" w:hAnsi="Arial"/>
          <w:sz w:val="17"/>
          <w:szCs w:val="17"/>
          <w:color w:val="auto"/>
        </w:rPr>
        <w:t>Contract assets primarily relate to the Company’s conditional right to consideration for work completed but not billed at the reporting date. The Company’s contract assets as of May 29, 2022, and May 30, 2021, were $10.2 million and $10.6 million, respectively.</w:t>
      </w:r>
    </w:p>
    <w:p>
      <w:pPr>
        <w:spacing w:after="0" w:line="126" w:lineRule="exact"/>
        <w:rPr>
          <w:sz w:val="20"/>
          <w:szCs w:val="20"/>
          <w:color w:val="auto"/>
        </w:rPr>
      </w:pPr>
    </w:p>
    <w:p>
      <w:pPr>
        <w:ind w:firstLine="773"/>
        <w:spacing w:after="0" w:line="279" w:lineRule="auto"/>
        <w:rPr>
          <w:sz w:val="20"/>
          <w:szCs w:val="20"/>
          <w:color w:val="auto"/>
        </w:rPr>
      </w:pPr>
      <w:r>
        <w:rPr>
          <w:rFonts w:ascii="Arial" w:cs="Arial" w:eastAsia="Arial" w:hAnsi="Arial"/>
          <w:sz w:val="17"/>
          <w:szCs w:val="17"/>
          <w:color w:val="auto"/>
        </w:rPr>
        <w:t>Contract liabilities primarily relate to payments received from customers in advance of performance under the contract. The Company’s contract liabilities as of May 29, 2022, and May 30, 2021, were $0.9 million and $0.9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0" w:name="page61"/>
    <w:bookmarkEnd w:id="60"/>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respectively. Revenue recognized during the fiscal year ended May 29, 2022 that was included in the contract liability balance at the beginning of fiscal year 2022, was $0.4 million.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84" w:lineRule="exact"/>
        <w:rPr>
          <w:sz w:val="20"/>
          <w:szCs w:val="20"/>
          <w:color w:val="auto"/>
        </w:rPr>
      </w:pPr>
    </w:p>
    <w:p>
      <w:pPr>
        <w:jc w:val="both"/>
        <w:ind w:firstLine="773"/>
        <w:spacing w:after="0" w:line="262" w:lineRule="auto"/>
        <w:rPr>
          <w:sz w:val="20"/>
          <w:szCs w:val="20"/>
          <w:color w:val="auto"/>
        </w:rPr>
      </w:pPr>
      <w:r>
        <w:rPr>
          <w:rFonts w:ascii="Arial" w:cs="Arial" w:eastAsia="Arial" w:hAnsi="Arial"/>
          <w:sz w:val="17"/>
          <w:szCs w:val="17"/>
          <w:color w:val="auto"/>
        </w:rPr>
        <w:t>The Company follows the five step, principles-based model to recognize revenue upon the transfer of promised goods or services to customers and in an amount that reflects the consideration for which the Company expects to be entitled in exchange for those goods or services. Revenue, net of estimated allowances and returns, is recognized when or as the Company satisfies its performance obligations under a contract and control of the product is transferred to the customer.</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Lifecore</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Lifecore generates revenue from two integrated activities: CDMO and Fermentation. CDMO is comprised of aseptic and development services. Lifecore’s standard terms of sale are generally included in its contracts and purchase orders. Shipping and other transportation costs charged to customers are recorded in both revenue and cost of goods sold. Lifecore has elected to account for shipping and handling as fulfillment activities, and not as a separate performance obligation. Lifecore’s standard payment terms with its customers generally range from 30 days to 60 days.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Aseptic</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Lifecore provides aseptic formulation and filling of syringes and vials with precisely formulated medical grade HA and non-HA materials for injectable products used for medical purposes. In instances where our customers contract with us to aseptically fill syringes or vials with our HA, the goods are not distinct in the context of the contract. Lifecore recognizes revenue for these products at the point in time when legal title to the product is transferred to the customer, which is at the time that shipment is made or upon delivery of the product.</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7"/>
          <w:szCs w:val="17"/>
          <w:i w:val="1"/>
          <w:iCs w:val="1"/>
          <w:color w:val="auto"/>
        </w:rPr>
        <w:t>Development Services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Lifecore provides product development services to assist its customers in obtaining regulatory approval for the commercial sale of their drug product. These services include activities such as technology development, material component changes, analytical method development, formulation development, pilot studies, stability studies, process validation and production of materials for use within clinical studies. The Company’s customers benefit from the expertise of its scientists who have extensive experience performing such tasks.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Each of the promised goods and services are not distinct in the context of the contract as the goods and services are highly interdependent and interrelated. The services described above are significantly affected by each other because Lifecore would not be able to fulfill its promise by transferring each of the goods or services independently.</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Revenues generated from development services arrangements are recognized over time as Lifecore is creating an asset without an alternate use as it is unique to the customer. Furthermore, the Company has an enforceable right to payment for the performance completed to date for its costs incurred in satisfying the performance obligation plus a reasonable profit margin. For each of the development activities performed by Lifecore as described above, labor is the primary input (i.e., labor costs represent the majority of the costs incurred in the completion of the services). The Company determined that labor hours are the best measure of progress as it most accurately depicts the effort extended to satisfy the performance obligation over time.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Fermentation</w:t>
      </w:r>
    </w:p>
    <w:p>
      <w:pPr>
        <w:spacing w:after="0" w:line="243"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Lifecore manufactures and sells pharmaceutical-grade sodium hyaluronate (“HA”) in bulk form to its customers. The HA produced is distinct as customers are able to utilize the product provided under HA supply contracts when they obtain control. Lifecore recognizes revenue for these products at the point in time when legal title to the product is transferred to the customer, which is at the time that shipment is made or upon delivery of the product to our customer.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Curation Foods</w:t>
      </w:r>
    </w:p>
    <w:p>
      <w:pPr>
        <w:spacing w:after="0" w:line="243"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Curation Foods’ standard terms of sale, both prior to and following the Eat Smart Disposition, are generally included in its contracts and purchase orders. Revenue is recognized at the time shipment is made or upon delivery as control of the product is transferred to the customer. Shipping and other transportation costs charged to customers are recorded in both revenue and cost of goods sold. Curation Foods has elected to account for shipping and handling as fulfillment activities, and not as a separate performance obligation. Curation Foods’ standard payment terms with its customers generally range from 30 days to 90 days.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1" w:name="page62"/>
    <w:bookmarkEnd w:id="61"/>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Certain customers may receive cash-based incentives (including: volume rebates, discounts, and promotions), which are accounted for as variable consideration to Curation Foods’ performance obligations. Curation Foods estimates these sales incentives based on the expected amount to be provided to its customers and reduces revenues recognized towards its performance obligations. The Company has not historically had and does not anticipate significant changes in its estimates for variable consideration.</w:t>
      </w:r>
    </w:p>
    <w:p>
      <w:pPr>
        <w:spacing w:after="0" w:line="20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7"/>
          <w:szCs w:val="17"/>
          <w:color w:val="auto"/>
        </w:rPr>
        <w:t>The Company disaggregates its revenue by segment based on how it markets its products and services and reviews results of operations. The following tables disaggregate segment revenue by major product lines and services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7"/>
                <w:szCs w:val="17"/>
                <w:color w:val="auto"/>
                <w:w w:val="89"/>
              </w:rPr>
              <w:t>Year Ended</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Lifecore:</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May 29, 2022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7"/>
                <w:szCs w:val="17"/>
                <w:color w:val="auto"/>
                <w:w w:val="93"/>
              </w:rPr>
              <w:t>May 30, 2021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May 31, 2020</w:t>
            </w:r>
          </w:p>
        </w:tc>
      </w:tr>
      <w:tr>
        <w:trPr>
          <w:trHeight w:val="380"/>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development and manufacturing organization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86,313</w:t>
            </w:r>
          </w:p>
        </w:tc>
        <w:tc>
          <w:tcPr>
            <w:tcW w:w="6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75,297</w:t>
            </w:r>
          </w:p>
        </w:tc>
        <w:tc>
          <w:tcPr>
            <w:tcW w:w="4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64,781</w:t>
            </w:r>
          </w:p>
        </w:tc>
        <w:tc>
          <w:tcPr>
            <w:tcW w:w="20" w:type="dxa"/>
            <w:vAlign w:val="bottom"/>
            <w:shd w:val="clear" w:color="auto" w:fill="CCEEFF"/>
          </w:tcPr>
          <w:p>
            <w:pPr>
              <w:spacing w:after="0"/>
              <w:rPr>
                <w:sz w:val="24"/>
                <w:szCs w:val="24"/>
                <w:color w:val="auto"/>
              </w:rPr>
            </w:pPr>
          </w:p>
        </w:tc>
      </w:tr>
      <w:tr>
        <w:trPr>
          <w:trHeight w:val="218"/>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Fermentation</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23,007</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22,790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21,052</w:t>
            </w:r>
          </w:p>
        </w:tc>
        <w:tc>
          <w:tcPr>
            <w:tcW w:w="20" w:type="dxa"/>
            <w:vAlign w:val="bottom"/>
            <w:tcBorders>
              <w:bottom w:val="single" w:sz="8" w:color="auto"/>
            </w:tcBorders>
          </w:tcPr>
          <w:p>
            <w:pPr>
              <w:spacing w:after="0"/>
              <w:rPr>
                <w:sz w:val="18"/>
                <w:szCs w:val="18"/>
                <w:color w:val="auto"/>
              </w:rPr>
            </w:pPr>
          </w:p>
        </w:tc>
      </w:tr>
      <w:tr>
        <w:trPr>
          <w:trHeight w:val="233"/>
        </w:trPr>
        <w:tc>
          <w:tcPr>
            <w:tcW w:w="7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109,320</w:t>
            </w:r>
          </w:p>
        </w:tc>
        <w:tc>
          <w:tcPr>
            <w:tcW w:w="6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98,087</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85,833</w:t>
            </w:r>
          </w:p>
        </w:tc>
        <w:tc>
          <w:tcPr>
            <w:tcW w:w="20" w:type="dxa"/>
            <w:vAlign w:val="bottom"/>
            <w:shd w:val="clear" w:color="auto" w:fill="CCEEFF"/>
          </w:tcPr>
          <w:p>
            <w:pPr>
              <w:spacing w:after="0"/>
              <w:rPr>
                <w:sz w:val="20"/>
                <w:szCs w:val="20"/>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color w:val="auto"/>
                <w:w w:val="89"/>
              </w:rPr>
              <w:t>Year Ended</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Curation Foods:</w:t>
            </w:r>
          </w:p>
        </w:tc>
        <w:tc>
          <w:tcPr>
            <w:tcW w:w="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7"/>
                <w:szCs w:val="17"/>
                <w:color w:val="auto"/>
              </w:rPr>
              <w:t>May 29, 2022</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3"/>
              </w:rPr>
              <w:t>May 30, 2021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91"/>
              </w:rPr>
              <w:t>May 31, 2020</w:t>
            </w:r>
          </w:p>
        </w:tc>
        <w:tc>
          <w:tcPr>
            <w:tcW w:w="20" w:type="dxa"/>
            <w:vAlign w:val="bottom"/>
          </w:tcPr>
          <w:p>
            <w:pPr>
              <w:spacing w:after="0"/>
              <w:rPr>
                <w:sz w:val="18"/>
                <w:szCs w:val="18"/>
                <w:color w:val="auto"/>
              </w:rPr>
            </w:pP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Avocado products</w:t>
            </w:r>
          </w:p>
        </w:tc>
        <w:tc>
          <w:tcPr>
            <w:tcW w:w="2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65,269</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63,575</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62,194</w:t>
            </w:r>
          </w:p>
        </w:tc>
        <w:tc>
          <w:tcPr>
            <w:tcW w:w="20" w:type="dxa"/>
            <w:vAlign w:val="bottom"/>
          </w:tcPr>
          <w:p>
            <w:pPr>
              <w:spacing w:after="0"/>
              <w:rPr>
                <w:sz w:val="18"/>
                <w:szCs w:val="18"/>
                <w:color w:val="auto"/>
              </w:rPr>
            </w:pPr>
          </w:p>
        </w:tc>
      </w:tr>
      <w:tr>
        <w:trPr>
          <w:trHeight w:val="218"/>
        </w:trPr>
        <w:tc>
          <w:tcPr>
            <w:tcW w:w="7140" w:type="dxa"/>
            <w:vAlign w:val="bottom"/>
          </w:tcPr>
          <w:p>
            <w:pPr>
              <w:ind w:left="20"/>
              <w:spacing w:after="0"/>
              <w:rPr>
                <w:sz w:val="20"/>
                <w:szCs w:val="20"/>
                <w:color w:val="auto"/>
              </w:rPr>
            </w:pPr>
            <w:r>
              <w:rPr>
                <w:rFonts w:ascii="Arial" w:cs="Arial" w:eastAsia="Arial" w:hAnsi="Arial"/>
                <w:sz w:val="17"/>
                <w:szCs w:val="17"/>
                <w:color w:val="auto"/>
              </w:rPr>
              <w:t>Olive oil and wine vinegars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9,287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7,589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7,783</w:t>
            </w:r>
          </w:p>
        </w:tc>
        <w:tc>
          <w:tcPr>
            <w:tcW w:w="20" w:type="dxa"/>
            <w:vAlign w:val="bottom"/>
          </w:tcPr>
          <w:p>
            <w:pPr>
              <w:spacing w:after="0"/>
              <w:rPr>
                <w:sz w:val="18"/>
                <w:szCs w:val="18"/>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4,256</w:t>
            </w:r>
          </w:p>
        </w:tc>
        <w:tc>
          <w:tcPr>
            <w:tcW w:w="20" w:type="dxa"/>
            <w:vAlign w:val="bottom"/>
          </w:tcPr>
          <w:p>
            <w:pPr>
              <w:spacing w:after="0"/>
              <w:rPr>
                <w:sz w:val="19"/>
                <w:szCs w:val="19"/>
                <w:color w:val="auto"/>
              </w:rPr>
            </w:pPr>
          </w:p>
        </w:tc>
      </w:tr>
      <w:tr>
        <w:trPr>
          <w:trHeight w:val="213"/>
        </w:trPr>
        <w:tc>
          <w:tcPr>
            <w:tcW w:w="7140" w:type="dxa"/>
            <w:vAlign w:val="bottom"/>
          </w:tcPr>
          <w:p>
            <w:pPr>
              <w:ind w:left="220"/>
              <w:spacing w:after="0"/>
              <w:rPr>
                <w:sz w:val="20"/>
                <w:szCs w:val="20"/>
                <w:color w:val="auto"/>
              </w:rPr>
            </w:pPr>
            <w:r>
              <w:rPr>
                <w:rFonts w:ascii="Arial" w:cs="Arial" w:eastAsia="Arial" w:hAnsi="Arial"/>
                <w:sz w:val="17"/>
                <w:szCs w:val="17"/>
                <w:color w:val="auto"/>
              </w:rPr>
              <w:t>Total</w:t>
            </w:r>
          </w:p>
        </w:tc>
        <w:tc>
          <w:tcPr>
            <w:tcW w:w="200" w:type="dxa"/>
            <w:vAlign w:val="bottom"/>
            <w:gridSpan w:val="2"/>
          </w:tcPr>
          <w:p>
            <w:pPr>
              <w:jc w:val="right"/>
              <w:ind w:right="1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76,466</w:t>
            </w:r>
          </w:p>
        </w:tc>
        <w:tc>
          <w:tcPr>
            <w:tcW w:w="60" w:type="dxa"/>
            <w:vAlign w:val="bottom"/>
          </w:tcPr>
          <w:p>
            <w:pPr>
              <w:spacing w:after="0"/>
              <w:rPr>
                <w:sz w:val="18"/>
                <w:szCs w:val="18"/>
                <w:color w:val="auto"/>
              </w:rPr>
            </w:pPr>
          </w:p>
        </w:tc>
        <w:tc>
          <w:tcPr>
            <w:tcW w:w="240" w:type="dxa"/>
            <w:vAlign w:val="bottom"/>
            <w:gridSpan w:val="3"/>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73,459</w:t>
            </w:r>
          </w:p>
        </w:tc>
        <w:tc>
          <w:tcPr>
            <w:tcW w:w="40" w:type="dxa"/>
            <w:vAlign w:val="bottom"/>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74,233</w:t>
            </w:r>
          </w:p>
        </w:tc>
        <w:tc>
          <w:tcPr>
            <w:tcW w:w="2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and Handling Costs</w:t>
      </w:r>
    </w:p>
    <w:p>
      <w:pPr>
        <w:spacing w:after="0" w:line="184" w:lineRule="exact"/>
        <w:rPr>
          <w:sz w:val="20"/>
          <w:szCs w:val="20"/>
          <w:color w:val="auto"/>
        </w:rPr>
      </w:pPr>
    </w:p>
    <w:p>
      <w:pPr>
        <w:jc w:val="both"/>
        <w:ind w:firstLine="773"/>
        <w:spacing w:after="0" w:line="266" w:lineRule="auto"/>
        <w:rPr>
          <w:sz w:val="20"/>
          <w:szCs w:val="20"/>
          <w:color w:val="auto"/>
        </w:rPr>
      </w:pPr>
      <w:r>
        <w:rPr>
          <w:rFonts w:ascii="Arial" w:cs="Arial" w:eastAsia="Arial" w:hAnsi="Arial"/>
          <w:sz w:val="17"/>
          <w:szCs w:val="17"/>
          <w:color w:val="auto"/>
        </w:rPr>
        <w:t>Amounts billed to third-party customers for shipping and handling are included as a component of revenues. Shipping and handling costs incurred are included as a component of cost of products sold and represent costs incurred to ship product from the processing facility or distribution center to the end consumer markets.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97" w:lineRule="exact"/>
        <w:rPr>
          <w:sz w:val="20"/>
          <w:szCs w:val="20"/>
          <w:color w:val="auto"/>
        </w:rPr>
      </w:pPr>
    </w:p>
    <w:p>
      <w:pPr>
        <w:jc w:val="both"/>
        <w:ind w:firstLine="773"/>
        <w:spacing w:after="0" w:line="312" w:lineRule="auto"/>
        <w:rPr>
          <w:sz w:val="20"/>
          <w:szCs w:val="20"/>
          <w:color w:val="auto"/>
        </w:rPr>
      </w:pPr>
      <w:r>
        <w:rPr>
          <w:rFonts w:ascii="Arial" w:cs="Arial" w:eastAsia="Arial" w:hAnsi="Arial"/>
          <w:sz w:val="16"/>
          <w:szCs w:val="16"/>
          <w:color w:val="auto"/>
        </w:rPr>
        <w:t>The Company records all highly liquid securities with three months or less from date of purchase to maturity as cash equivalents. Cash equivalents consist mainly of money market funds. The market value of cash equivalents approximates their historical cost given their short-term nature.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Reconciliation of Cash and Cash Equivalents and Cash as presented on the Statements of Cash Flows</w:t>
      </w:r>
    </w:p>
    <w:p>
      <w:pPr>
        <w:spacing w:after="0" w:line="17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Consolidated Balance Sheets that sum to the total of the same such amounts shown in the Consolidated Statements of Cash Flows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auto"/>
              </w:rPr>
              <w:t>May 29, 2022</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7"/>
                <w:szCs w:val="17"/>
                <w:color w:val="auto"/>
              </w:rPr>
              <w:t>May 30, 2021</w:t>
            </w:r>
          </w:p>
        </w:tc>
        <w:tc>
          <w:tcPr>
            <w:tcW w:w="160" w:type="dxa"/>
            <w:vAlign w:val="bottom"/>
          </w:tcPr>
          <w:p>
            <w:pPr>
              <w:spacing w:after="0"/>
              <w:rPr>
                <w:sz w:val="18"/>
                <w:szCs w:val="18"/>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31, 2020</w:t>
            </w:r>
          </w:p>
        </w:tc>
      </w:tr>
      <w:tr>
        <w:trPr>
          <w:trHeight w:val="21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193</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discontinued operations</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1,643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553</w:t>
            </w: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2" w:name="page63"/>
    <w:bookmarkEnd w:id="62"/>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97" w:lineRule="exact"/>
        <w:rPr>
          <w:sz w:val="20"/>
          <w:szCs w:val="20"/>
          <w:color w:val="auto"/>
        </w:rPr>
      </w:pPr>
    </w:p>
    <w:p>
      <w:pPr>
        <w:jc w:val="both"/>
        <w:ind w:firstLine="773"/>
        <w:spacing w:after="0" w:line="279" w:lineRule="auto"/>
        <w:rPr>
          <w:sz w:val="20"/>
          <w:szCs w:val="20"/>
          <w:color w:val="auto"/>
        </w:rPr>
      </w:pPr>
      <w:r>
        <w:rPr>
          <w:rFonts w:ascii="Arial" w:cs="Arial" w:eastAsia="Arial" w:hAnsi="Arial"/>
          <w:sz w:val="17"/>
          <w:szCs w:val="17"/>
          <w:color w:val="auto"/>
        </w:rPr>
        <w:t>Inventories are stated at the lower of cost (using the first-in, first-out method) or net realizable value. As of May 29, 2022 and May 30, 2021, inventories consisted of the following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7"/>
                <w:szCs w:val="17"/>
                <w:color w:val="auto"/>
              </w:rPr>
              <w:t>Year Ended</w:t>
            </w:r>
          </w:p>
        </w:tc>
      </w:tr>
      <w:tr>
        <w:trPr>
          <w:trHeight w:val="212"/>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7"/>
                <w:szCs w:val="17"/>
                <w:color w:val="auto"/>
              </w:rPr>
              <w:t>May 29, 2022</w:t>
            </w:r>
          </w:p>
        </w:tc>
        <w:tc>
          <w:tcPr>
            <w:tcW w:w="160" w:type="dxa"/>
            <w:vAlign w:val="bottom"/>
          </w:tcPr>
          <w:p>
            <w:pPr>
              <w:spacing w:after="0"/>
              <w:rPr>
                <w:sz w:val="18"/>
                <w:szCs w:val="18"/>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30, 2021</w:t>
            </w:r>
          </w:p>
        </w:tc>
      </w:tr>
      <w:tr>
        <w:trPr>
          <w:trHeight w:val="213"/>
        </w:trPr>
        <w:tc>
          <w:tcPr>
            <w:tcW w:w="8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40,204</w:t>
            </w:r>
          </w:p>
        </w:tc>
      </w:tr>
      <w:tr>
        <w:trPr>
          <w:trHeight w:val="218"/>
        </w:trPr>
        <w:tc>
          <w:tcPr>
            <w:tcW w:w="8340" w:type="dxa"/>
            <w:vAlign w:val="bottom"/>
          </w:tcPr>
          <w:p>
            <w:pPr>
              <w:ind w:left="20"/>
              <w:spacing w:after="0"/>
              <w:rPr>
                <w:sz w:val="20"/>
                <w:szCs w:val="20"/>
                <w:color w:val="auto"/>
              </w:rPr>
            </w:pPr>
            <w:r>
              <w:rPr>
                <w:rFonts w:ascii="Arial" w:cs="Arial" w:eastAsia="Arial" w:hAnsi="Arial"/>
                <w:sz w:val="17"/>
                <w:szCs w:val="17"/>
                <w:color w:val="auto"/>
              </w:rPr>
              <w:t>Raw materials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24,221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16,644</w:t>
            </w:r>
          </w:p>
        </w:tc>
      </w:tr>
      <w:tr>
        <w:trPr>
          <w:trHeight w:val="219"/>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 in progress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6,228</w:t>
            </w:r>
          </w:p>
        </w:tc>
      </w:tr>
      <w:tr>
        <w:trPr>
          <w:trHeight w:val="213"/>
        </w:trPr>
        <w:tc>
          <w:tcPr>
            <w:tcW w:w="8340" w:type="dxa"/>
            <w:vAlign w:val="bottom"/>
          </w:tcPr>
          <w:p>
            <w:pPr>
              <w:ind w:left="140"/>
              <w:spacing w:after="0"/>
              <w:rPr>
                <w:sz w:val="20"/>
                <w:szCs w:val="20"/>
                <w:color w:val="auto"/>
              </w:rPr>
            </w:pPr>
            <w:r>
              <w:rPr>
                <w:rFonts w:ascii="Arial" w:cs="Arial" w:eastAsia="Arial" w:hAnsi="Arial"/>
                <w:sz w:val="17"/>
                <w:szCs w:val="17"/>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66,845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63,076</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773"/>
        <w:spacing w:after="0" w:line="279" w:lineRule="auto"/>
        <w:rPr>
          <w:sz w:val="20"/>
          <w:szCs w:val="20"/>
          <w:color w:val="auto"/>
        </w:rPr>
      </w:pPr>
      <w:r>
        <w:rPr>
          <w:rFonts w:ascii="Arial" w:cs="Arial" w:eastAsia="Arial" w:hAnsi="Arial"/>
          <w:sz w:val="17"/>
          <w:szCs w:val="17"/>
          <w:color w:val="auto"/>
        </w:rPr>
        <w:t>If the cost of the inventories exceeds their net realizable value, provisions are recorded currently to reduce them to net realizable value. The Company also records a provision for slow moving and obsolete inventories based on the estimate of demand for its products.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Expense</w:t>
      </w:r>
    </w:p>
    <w:p>
      <w:pPr>
        <w:spacing w:after="0" w:line="184" w:lineRule="exact"/>
        <w:rPr>
          <w:sz w:val="20"/>
          <w:szCs w:val="20"/>
          <w:color w:val="auto"/>
        </w:rPr>
      </w:pPr>
    </w:p>
    <w:p>
      <w:pPr>
        <w:jc w:val="both"/>
        <w:ind w:firstLine="773"/>
        <w:spacing w:after="0" w:line="266" w:lineRule="auto"/>
        <w:rPr>
          <w:sz w:val="20"/>
          <w:szCs w:val="20"/>
          <w:color w:val="auto"/>
        </w:rPr>
      </w:pPr>
      <w:r>
        <w:rPr>
          <w:rFonts w:ascii="Arial" w:cs="Arial" w:eastAsia="Arial" w:hAnsi="Arial"/>
          <w:sz w:val="17"/>
          <w:szCs w:val="17"/>
          <w:color w:val="auto"/>
        </w:rPr>
        <w:t>Advertising expenditures for the Company are expensed as incurred and included in selling, general, and administrative in the accompanying Consolidated Statements of Operations. Advertising expense for the Company for fiscal years 2022, 2021 and 2020 was $0.2 million, $0.1 million and $0.1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197" w:lineRule="exact"/>
        <w:rPr>
          <w:sz w:val="20"/>
          <w:szCs w:val="20"/>
          <w:color w:val="auto"/>
        </w:rPr>
      </w:pPr>
    </w:p>
    <w:p>
      <w:pPr>
        <w:jc w:val="both"/>
        <w:ind w:firstLine="773"/>
        <w:spacing w:after="0" w:line="279" w:lineRule="auto"/>
        <w:rPr>
          <w:sz w:val="20"/>
          <w:szCs w:val="20"/>
          <w:color w:val="auto"/>
        </w:rPr>
      </w:pPr>
      <w:r>
        <w:rPr>
          <w:rFonts w:ascii="Arial" w:cs="Arial" w:eastAsia="Arial" w:hAnsi="Arial"/>
          <w:sz w:val="16"/>
          <w:szCs w:val="16"/>
          <w:color w:val="auto"/>
        </w:rPr>
        <w:t>The Company sells and licenses its BreatheWay® food packaging technology to Windset Holdings 2010 Ltd. (“Windset”), in which, as further described in Note 2 - Investment in Non-public Company, the Company had a 26.9% ownership interest until it sold that interest on June 1, 2021. During fiscal years 2021 and 2020, the Company recognized revenues of $0.5 million and $0.6 million, respectively, from the sale of products to and license fees from Windset. These amounts have been included in Product sales in the accompanying Consolidated Statements of Operations. The related receivable balance of $0.1 million from Windset is included in Accounts receivable in the accompanying Consolidated Balance Sheets as of May 30, 2021.</w:t>
      </w:r>
    </w:p>
    <w:p>
      <w:pPr>
        <w:spacing w:after="0" w:line="130" w:lineRule="exact"/>
        <w:rPr>
          <w:sz w:val="20"/>
          <w:szCs w:val="20"/>
          <w:color w:val="auto"/>
        </w:rPr>
      </w:pPr>
    </w:p>
    <w:p>
      <w:pPr>
        <w:ind w:right="1140" w:firstLine="773"/>
        <w:spacing w:after="0" w:line="466" w:lineRule="auto"/>
        <w:rPr>
          <w:sz w:val="20"/>
          <w:szCs w:val="20"/>
          <w:color w:val="auto"/>
        </w:rPr>
      </w:pPr>
      <w:r>
        <w:rPr>
          <w:rFonts w:ascii="Arial" w:cs="Arial" w:eastAsia="Arial" w:hAnsi="Arial"/>
          <w:sz w:val="17"/>
          <w:szCs w:val="17"/>
          <w:color w:val="auto"/>
        </w:rPr>
        <w:t xml:space="preserve">All related party transactions are monitored quarterly by the Company and approved by the Audit Committee of the Board of Directors. </w:t>
      </w:r>
      <w:r>
        <w:rPr>
          <w:rFonts w:ascii="Arial" w:cs="Arial" w:eastAsia="Arial" w:hAnsi="Arial"/>
          <w:sz w:val="17"/>
          <w:szCs w:val="17"/>
          <w:b w:val="1"/>
          <w:bCs w:val="1"/>
          <w:color w:val="auto"/>
        </w:rPr>
        <w:t>Property and Equipment and Long-Lived Intangible Assets, As Restated</w:t>
      </w:r>
    </w:p>
    <w:p>
      <w:pPr>
        <w:spacing w:after="0" w:line="2" w:lineRule="exact"/>
        <w:rPr>
          <w:sz w:val="20"/>
          <w:szCs w:val="20"/>
          <w:color w:val="auto"/>
        </w:rPr>
      </w:pPr>
    </w:p>
    <w:p>
      <w:pPr>
        <w:jc w:val="both"/>
        <w:ind w:firstLine="773"/>
        <w:spacing w:after="0" w:line="283" w:lineRule="auto"/>
        <w:rPr>
          <w:sz w:val="20"/>
          <w:szCs w:val="20"/>
          <w:color w:val="auto"/>
        </w:rPr>
      </w:pPr>
      <w:r>
        <w:rPr>
          <w:rFonts w:ascii="Arial" w:cs="Arial" w:eastAsia="Arial" w:hAnsi="Arial"/>
          <w:sz w:val="16"/>
          <w:szCs w:val="16"/>
          <w:color w:val="auto"/>
        </w:rPr>
        <w:t>Property and equipment and long-lived intangible assets are stated at cost. Expenditures for major improvements are capitalized while repairs and maintenance are charged to expense. Depreciation is expensed on a straight-line basis over the estimated useful lives of the respective assets. Customer relationships are amortized to operating expense on an accelerated basis that reflects the pattern in which the economic benefits are consumed. Leasehold improvements are amortized on a straight-line basis over the lesser of the economic life of the improvement or the life of the lease.</w:t>
      </w:r>
    </w:p>
    <w:p>
      <w:pPr>
        <w:spacing w:after="0" w:line="125" w:lineRule="exact"/>
        <w:rPr>
          <w:sz w:val="20"/>
          <w:szCs w:val="20"/>
          <w:color w:val="auto"/>
        </w:rPr>
      </w:pPr>
    </w:p>
    <w:p>
      <w:pPr>
        <w:jc w:val="both"/>
        <w:ind w:firstLine="773"/>
        <w:spacing w:after="0" w:line="266" w:lineRule="auto"/>
        <w:rPr>
          <w:sz w:val="20"/>
          <w:szCs w:val="20"/>
          <w:color w:val="auto"/>
        </w:rPr>
      </w:pPr>
      <w:r>
        <w:rPr>
          <w:rFonts w:ascii="Arial" w:cs="Arial" w:eastAsia="Arial" w:hAnsi="Arial"/>
          <w:sz w:val="17"/>
          <w:szCs w:val="17"/>
          <w:color w:val="auto"/>
        </w:rPr>
        <w:t>The Company capitalizes software development costs for internal use. Capitalization of software development costs begins in the application development stage and ends when the asset is placed into service. The Company amortizes such costs on a straight-line basis over estimated useful lives of three to seven years.</w:t>
      </w:r>
    </w:p>
    <w:p>
      <w:pPr>
        <w:spacing w:after="0" w:line="136" w:lineRule="exact"/>
        <w:rPr>
          <w:sz w:val="20"/>
          <w:szCs w:val="20"/>
          <w:color w:val="auto"/>
        </w:rPr>
      </w:pPr>
    </w:p>
    <w:p>
      <w:pPr>
        <w:jc w:val="both"/>
        <w:ind w:firstLine="773"/>
        <w:spacing w:after="0" w:line="256" w:lineRule="auto"/>
        <w:rPr>
          <w:sz w:val="20"/>
          <w:szCs w:val="20"/>
          <w:color w:val="auto"/>
        </w:rPr>
      </w:pPr>
      <w:r>
        <w:rPr>
          <w:rFonts w:ascii="Arial" w:cs="Arial" w:eastAsia="Arial" w:hAnsi="Arial"/>
          <w:sz w:val="17"/>
          <w:szCs w:val="17"/>
          <w:color w:val="auto"/>
        </w:rPr>
        <w:t>Property, plant and equipment and long-lived intangible assets are reviewed for possible impairment whenever events or changes in circumstances occur that indicate that the carrying amount of an asset (or asset group) may not be recoverable. The Company’s impairment review requires significant management judgment including estimating the future success of product lines, future sales volumes, revenue and expense growth rates, customer attrition, alternative uses for the assets and estimated proceeds from the disposal of the assets as well as the appropriate discount rates applied to those cash flows to determine fair value. The Company conducts quarterly reviews of idle and underutilized equipment, and reviews business plans for possible impairment indicators. Impairment is indicated when the carrying amount of the asset (or asset group) exceeds its estimated future undiscounted cash flows and the impairment is viewed as other than temporary. When impairment is indicated, an impairment charge is recorded for the difference between the asset’s book value and its estimated fair value. Depending on the asset, estimated fair value may be determined either by use of a discounted cash flow model or by reference to estimated selling values of assets in similar condition. The use of different assumptions would increase or decrease the estimated fair value of assets and would increase or decrease any impairment measurement.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3" w:name="page64"/>
    <w:bookmarkEnd w:id="63"/>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773"/>
        <w:spacing w:after="0" w:line="277" w:lineRule="auto"/>
        <w:rPr>
          <w:sz w:val="20"/>
          <w:szCs w:val="20"/>
          <w:color w:val="auto"/>
        </w:rPr>
      </w:pPr>
      <w:r>
        <w:rPr>
          <w:rFonts w:ascii="Arial" w:cs="Arial" w:eastAsia="Arial" w:hAnsi="Arial"/>
          <w:sz w:val="16"/>
          <w:szCs w:val="16"/>
          <w:color w:val="auto"/>
        </w:rPr>
        <w:t xml:space="preserve">During fiscal year 2020, the Company recorded impairment charges of $1.3 million and $0.5 million related to </w:t>
      </w:r>
      <w:r>
        <w:rPr>
          <w:rFonts w:ascii="Arial" w:cs="Arial" w:eastAsia="Arial" w:hAnsi="Arial"/>
          <w:sz w:val="16"/>
          <w:szCs w:val="16"/>
          <w:i w:val="1"/>
          <w:iCs w:val="1"/>
          <w:color w:val="auto"/>
        </w:rPr>
        <w:t>O</w:t>
      </w:r>
      <w:r>
        <w:rPr>
          <w:rFonts w:ascii="Arial" w:cs="Arial" w:eastAsia="Arial" w:hAnsi="Arial"/>
          <w:sz w:val="16"/>
          <w:szCs w:val="16"/>
          <w:color w:val="auto"/>
        </w:rPr>
        <w:t xml:space="preserve"> property and equipment, and long-lived intangible assets (customer relationships), respectively. The impairment was determined using the present value of cash flows method and was primarily a result of the recently updated (lowered) financial outlook for the </w:t>
      </w:r>
      <w:r>
        <w:rPr>
          <w:rFonts w:ascii="Arial" w:cs="Arial" w:eastAsia="Arial" w:hAnsi="Arial"/>
          <w:sz w:val="16"/>
          <w:szCs w:val="16"/>
          <w:i w:val="1"/>
          <w:iCs w:val="1"/>
          <w:color w:val="auto"/>
        </w:rPr>
        <w:t>O</w:t>
      </w:r>
      <w:r>
        <w:rPr>
          <w:rFonts w:ascii="Arial" w:cs="Arial" w:eastAsia="Arial" w:hAnsi="Arial"/>
          <w:sz w:val="16"/>
          <w:szCs w:val="16"/>
          <w:color w:val="auto"/>
        </w:rPr>
        <w:t xml:space="preserve"> reporting unit, related to a recent shift in strategic focus within the Curation Foods business segment. The impairment charge of property and equipment is included in Selling, general and administrative in the Consolidated Statements of Operations. The impairment charge of the customer relationships intangible asset impairment charge is included in the line item Impairment of goodwill and long-lived and indefinite-lived assets on the Consolidated Statements of Operations, and is in the Curation Foods business segment.</w:t>
      </w:r>
    </w:p>
    <w:p>
      <w:pPr>
        <w:spacing w:after="0" w:line="131" w:lineRule="exact"/>
        <w:rPr>
          <w:sz w:val="20"/>
          <w:szCs w:val="20"/>
          <w:color w:val="auto"/>
        </w:rPr>
      </w:pPr>
    </w:p>
    <w:p>
      <w:pPr>
        <w:jc w:val="both"/>
        <w:ind w:firstLine="773"/>
        <w:spacing w:after="0" w:line="299" w:lineRule="auto"/>
        <w:rPr>
          <w:sz w:val="20"/>
          <w:szCs w:val="20"/>
          <w:color w:val="auto"/>
        </w:rPr>
      </w:pPr>
      <w:r>
        <w:rPr>
          <w:rFonts w:ascii="Arial" w:cs="Arial" w:eastAsia="Arial" w:hAnsi="Arial"/>
          <w:sz w:val="15"/>
          <w:szCs w:val="15"/>
          <w:color w:val="auto"/>
        </w:rPr>
        <w:t>As discussed in Note 1 - Correction of Error in Previously Reported Fiscal Year 2022 Annual Financial Statements, the Company is restating its previously issued financial statements resulting from errors related to certain impairment charges related to the Company’s Curation Foods. As restated, during fiscal year 2022, the Company recorded impairment charges of $5.8 million and $11.9 million related to Yucatan Foods customer relationships, and property &amp; equipment, respectively. These impairment charges were primarily a result of an indication of a decrease in the fair market values of the Yucatan Foods businesses driven by lower market valuations and a decrease in projected cash flows. The Yucatan Foods related impairment charges are included in the line item Impairment of goodwill and long-lived and indefinite-lived assets on the Consolidated Statements of Operations and are in the Curation Foods business segment.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Review of Goodwill and Indefinite-Lived Intangible Asset, As Restated</w:t>
      </w:r>
    </w:p>
    <w:p>
      <w:pPr>
        <w:spacing w:after="0" w:line="197" w:lineRule="exact"/>
        <w:rPr>
          <w:sz w:val="20"/>
          <w:szCs w:val="20"/>
          <w:color w:val="auto"/>
        </w:rPr>
      </w:pPr>
    </w:p>
    <w:p>
      <w:pPr>
        <w:jc w:val="both"/>
        <w:ind w:firstLine="773"/>
        <w:spacing w:after="0" w:line="279" w:lineRule="auto"/>
        <w:rPr>
          <w:sz w:val="20"/>
          <w:szCs w:val="20"/>
          <w:color w:val="auto"/>
        </w:rPr>
      </w:pPr>
      <w:r>
        <w:rPr>
          <w:rFonts w:ascii="Arial" w:cs="Arial" w:eastAsia="Arial" w:hAnsi="Arial"/>
          <w:sz w:val="17"/>
          <w:szCs w:val="17"/>
          <w:color w:val="auto"/>
        </w:rPr>
        <w:t>The Company tests its goodwill and trademarks with indefinite lives annually for impairment in the fiscal fourth quarter or earlier if there are indications during a different interim period that these assets may have become impaired.</w:t>
      </w:r>
    </w:p>
    <w:p>
      <w:pPr>
        <w:spacing w:after="0" w:line="126" w:lineRule="exact"/>
        <w:rPr>
          <w:sz w:val="20"/>
          <w:szCs w:val="20"/>
          <w:color w:val="auto"/>
        </w:rPr>
      </w:pPr>
    </w:p>
    <w:p>
      <w:pPr>
        <w:jc w:val="both"/>
        <w:ind w:firstLine="773"/>
        <w:spacing w:after="0" w:line="283" w:lineRule="auto"/>
        <w:rPr>
          <w:sz w:val="20"/>
          <w:szCs w:val="20"/>
          <w:color w:val="auto"/>
        </w:rPr>
      </w:pPr>
      <w:r>
        <w:rPr>
          <w:rFonts w:ascii="Arial" w:cs="Arial" w:eastAsia="Arial" w:hAnsi="Arial"/>
          <w:sz w:val="16"/>
          <w:szCs w:val="16"/>
          <w:color w:val="auto"/>
        </w:rPr>
        <w:t>On a quarterly basis, the Company considers the need to update its most recent annual tests for possible impairment of its indefinite-lived intangible assets and goodwill, based on management’s assessment of changes in its business and other economic factors since the most recent annual evaluation. Such changes, if significant or material, could indicate a need to update the most recent annual tests for impairment of the indefinite-lived intangible assets during the current period. The results of these tests could lead to write-downs of the carrying values of these assets in the current period.</w:t>
      </w:r>
    </w:p>
    <w:p>
      <w:pPr>
        <w:spacing w:after="0" w:line="125" w:lineRule="exact"/>
        <w:rPr>
          <w:sz w:val="20"/>
          <w:szCs w:val="20"/>
          <w:color w:val="auto"/>
        </w:rPr>
      </w:pPr>
    </w:p>
    <w:p>
      <w:pPr>
        <w:jc w:val="both"/>
        <w:ind w:firstLine="773"/>
        <w:spacing w:after="0" w:line="283" w:lineRule="auto"/>
        <w:rPr>
          <w:sz w:val="20"/>
          <w:szCs w:val="20"/>
          <w:color w:val="auto"/>
        </w:rPr>
      </w:pPr>
      <w:r>
        <w:rPr>
          <w:rFonts w:ascii="Arial" w:cs="Arial" w:eastAsia="Arial" w:hAnsi="Arial"/>
          <w:sz w:val="16"/>
          <w:szCs w:val="16"/>
          <w:color w:val="auto"/>
        </w:rPr>
        <w:t>With respect to goodwill, the Company has the option to first assess qualitative factors such as macro-economic conditions, industry and market environment, cost factors, overall financial performance of the Company, cash flow from operating activities, market capitalization, litigation, and stock price. If the result of a qualitative test indicates a potential for impairment of a reporting unit, a quantitative test is performed. The quantitative test compares the carrying amount of a reporting unit that includes goodwill to its fair value. The Company determines the fair value using an income approach.</w:t>
      </w:r>
    </w:p>
    <w:p>
      <w:pPr>
        <w:spacing w:after="0" w:line="138" w:lineRule="exact"/>
        <w:rPr>
          <w:sz w:val="20"/>
          <w:szCs w:val="20"/>
          <w:color w:val="auto"/>
        </w:rPr>
      </w:pPr>
    </w:p>
    <w:p>
      <w:pPr>
        <w:jc w:val="both"/>
        <w:ind w:firstLine="773"/>
        <w:spacing w:after="0" w:line="274" w:lineRule="auto"/>
        <w:rPr>
          <w:sz w:val="20"/>
          <w:szCs w:val="20"/>
          <w:color w:val="auto"/>
        </w:rPr>
      </w:pPr>
      <w:r>
        <w:rPr>
          <w:rFonts w:ascii="Arial" w:cs="Arial" w:eastAsia="Arial" w:hAnsi="Arial"/>
          <w:sz w:val="16"/>
          <w:szCs w:val="16"/>
          <w:color w:val="auto"/>
        </w:rPr>
        <w:t>To determine the fair value of a reporting unit as part of its quantitative test, the Company uses a discounted cash flow (“DCF”) method under the income approach, as it believes that this approach is the most reliable indicator of the fair value of its businesses and the fair value of their future earnings and cash flows. Under this approach, which requires significant judgments, the Company estimates the future cash flows of each reporting unit and discounts these cash flows at a rate of return that reflects their relative risk and rate of return an outside investor could expect to earn. The cash flows used in the DCF method are consistent with those the Company uses in its internal planning, which gives consideration to actual business trends experienced, and the broader business strategy for the long term. The other key estimates and factors used in the DCF method include, but are not limited to, future volumes, net sales and expense growth rates, and gross margin and gross margin growth rates. Changes in such estimates or the application of alternative assumptions could produce different results. A goodwill impairment loss is recognized for the amount that the carrying amount of a reporting unit, including goodwill, exceeds its fair value, limited to the total amount of goodwill allocated to that reporting unit.</w:t>
      </w:r>
    </w:p>
    <w:p>
      <w:pPr>
        <w:spacing w:after="0" w:line="134" w:lineRule="exact"/>
        <w:rPr>
          <w:sz w:val="20"/>
          <w:szCs w:val="20"/>
          <w:color w:val="auto"/>
        </w:rPr>
      </w:pPr>
    </w:p>
    <w:p>
      <w:pPr>
        <w:jc w:val="both"/>
        <w:ind w:firstLine="773"/>
        <w:spacing w:after="0" w:line="275" w:lineRule="auto"/>
        <w:rPr>
          <w:sz w:val="20"/>
          <w:szCs w:val="20"/>
          <w:color w:val="auto"/>
        </w:rPr>
      </w:pPr>
      <w:r>
        <w:rPr>
          <w:rFonts w:ascii="Arial" w:cs="Arial" w:eastAsia="Arial" w:hAnsi="Arial"/>
          <w:sz w:val="16"/>
          <w:szCs w:val="16"/>
          <w:color w:val="auto"/>
        </w:rPr>
        <w:t>For trademarks/tradenames and other intangible assets with indefinite lives, the Company has the option to first assess qualitative factors such as macro-economic conditions, industry and market environment, cost factors, overall financial performance of the Company, litigation, and changes in the business in its annual, qualitative analysis to test for impairment. If the results of a qualitative test indicate a potential for impairment of an intangible asset with an indefinite life, a quantitative test is performed. The quantitative test compares the estimated fair value of an asset to its carrying amount. If the carrying amount of such asset exceeds its estimated fair value, an impairment charge is recorded for the difference between the carrying amount and the estimated fair value. The Company uses the royalty savings method to estimate the fair value of its trademarks/tradenames. This approach requires significant judgments in determining the royalty rates and the assets’ estimated cash flows as well as the appropriate discount rates applied to those cash flows to determine fair value. Changes in such estimates or the use of alternative assumptions could produce different results.</w:t>
      </w:r>
    </w:p>
    <w:p>
      <w:pPr>
        <w:spacing w:after="0" w:line="131" w:lineRule="exact"/>
        <w:rPr>
          <w:sz w:val="20"/>
          <w:szCs w:val="20"/>
          <w:color w:val="auto"/>
        </w:rPr>
      </w:pPr>
    </w:p>
    <w:p>
      <w:pPr>
        <w:jc w:val="both"/>
        <w:ind w:firstLine="773"/>
        <w:spacing w:after="0" w:line="279" w:lineRule="auto"/>
        <w:rPr>
          <w:sz w:val="20"/>
          <w:szCs w:val="20"/>
          <w:color w:val="auto"/>
        </w:rPr>
      </w:pPr>
      <w:r>
        <w:rPr>
          <w:rFonts w:ascii="Arial" w:cs="Arial" w:eastAsia="Arial" w:hAnsi="Arial"/>
          <w:sz w:val="17"/>
          <w:szCs w:val="17"/>
          <w:color w:val="auto"/>
        </w:rPr>
        <w:t xml:space="preserve">During fiscal year 2020, the Company recorded an impairment charge of $1.1 million and $3.5 million related to its </w:t>
      </w:r>
      <w:r>
        <w:rPr>
          <w:rFonts w:ascii="Arial" w:cs="Arial" w:eastAsia="Arial" w:hAnsi="Arial"/>
          <w:sz w:val="17"/>
          <w:szCs w:val="17"/>
          <w:i w:val="1"/>
          <w:iCs w:val="1"/>
          <w:color w:val="auto"/>
        </w:rPr>
        <w:t>O</w:t>
      </w:r>
      <w:r>
        <w:rPr>
          <w:rFonts w:ascii="Arial" w:cs="Arial" w:eastAsia="Arial" w:hAnsi="Arial"/>
          <w:sz w:val="17"/>
          <w:szCs w:val="17"/>
          <w:color w:val="auto"/>
        </w:rPr>
        <w:t xml:space="preserve"> and Yucatan Foods trademarks, respectively. The Company also recorded an impairment charge of $5.2 million and $2.7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4" w:name="page65"/>
    <w:bookmarkEnd w:id="64"/>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related to its </w:t>
      </w:r>
      <w:r>
        <w:rPr>
          <w:rFonts w:ascii="Arial" w:cs="Arial" w:eastAsia="Arial" w:hAnsi="Arial"/>
          <w:sz w:val="16"/>
          <w:szCs w:val="16"/>
          <w:i w:val="1"/>
          <w:iCs w:val="1"/>
          <w:color w:val="auto"/>
        </w:rPr>
        <w:t>O</w:t>
      </w:r>
      <w:r>
        <w:rPr>
          <w:rFonts w:ascii="Arial" w:cs="Arial" w:eastAsia="Arial" w:hAnsi="Arial"/>
          <w:sz w:val="16"/>
          <w:szCs w:val="16"/>
          <w:color w:val="auto"/>
        </w:rPr>
        <w:t xml:space="preserve"> and Yucatan Foods goodwill, respectively. The </w:t>
      </w:r>
      <w:r>
        <w:rPr>
          <w:rFonts w:ascii="Arial" w:cs="Arial" w:eastAsia="Arial" w:hAnsi="Arial"/>
          <w:sz w:val="16"/>
          <w:szCs w:val="16"/>
          <w:i w:val="1"/>
          <w:iCs w:val="1"/>
          <w:color w:val="auto"/>
        </w:rPr>
        <w:t>O</w:t>
      </w:r>
      <w:r>
        <w:rPr>
          <w:rFonts w:ascii="Arial" w:cs="Arial" w:eastAsia="Arial" w:hAnsi="Arial"/>
          <w:sz w:val="16"/>
          <w:szCs w:val="16"/>
          <w:color w:val="auto"/>
        </w:rPr>
        <w:t xml:space="preserve"> impairment charges were primarily a result of the recently updated (lowered) financial outlook for the </w:t>
      </w:r>
      <w:r>
        <w:rPr>
          <w:rFonts w:ascii="Arial" w:cs="Arial" w:eastAsia="Arial" w:hAnsi="Arial"/>
          <w:sz w:val="16"/>
          <w:szCs w:val="16"/>
          <w:i w:val="1"/>
          <w:iCs w:val="1"/>
          <w:color w:val="auto"/>
        </w:rPr>
        <w:t>O</w:t>
      </w:r>
      <w:r>
        <w:rPr>
          <w:rFonts w:ascii="Arial" w:cs="Arial" w:eastAsia="Arial" w:hAnsi="Arial"/>
          <w:sz w:val="16"/>
          <w:szCs w:val="16"/>
          <w:color w:val="auto"/>
        </w:rPr>
        <w:t xml:space="preserve"> reporting unit, related to a recent shift in strategic focus within the Curation Foods business segment. The Yucatan Foods impairment charges were primarily a result of an increase in the Yucatan Foods carrying value and an increase in the discount rate, as a result of uncertainty in forecasting the effects of COVID-19 and general economic uncertainties. These impairment charges are included in the line item “impairment of goodwill and long-lived and indefinite-lived assets” on the Consolidated Statements of Operations, and both are in the Curation Foods business segment.</w:t>
      </w:r>
    </w:p>
    <w:p>
      <w:pPr>
        <w:spacing w:after="0" w:line="130" w:lineRule="exact"/>
        <w:rPr>
          <w:sz w:val="20"/>
          <w:szCs w:val="20"/>
          <w:color w:val="auto"/>
        </w:rPr>
      </w:pPr>
    </w:p>
    <w:p>
      <w:pPr>
        <w:jc w:val="both"/>
        <w:ind w:firstLine="773"/>
        <w:spacing w:after="0" w:line="295" w:lineRule="auto"/>
        <w:rPr>
          <w:sz w:val="20"/>
          <w:szCs w:val="20"/>
          <w:color w:val="auto"/>
        </w:rPr>
      </w:pPr>
      <w:r>
        <w:rPr>
          <w:rFonts w:ascii="Arial" w:cs="Arial" w:eastAsia="Arial" w:hAnsi="Arial"/>
          <w:sz w:val="15"/>
          <w:szCs w:val="15"/>
          <w:color w:val="auto"/>
        </w:rPr>
        <w:t>As discussed in Note 1 - Correction of Error in Previously Reported Fiscal Year 2022 Annual Financial Statements, the Company is restating its previously issued financial statements resulting from errors related to certain impairment charges related to the Company's Curation Foods. As restated, during fiscal year 2022, the Company recorded impairment charges of $32.1 million and $20.0 million related to its Eat Smart business and Yucatan Foods goodwill, respectively. The Company also recorded an impairment charge of $8.4 million related to its Yucatan Foods trademarks/tradenames. These impairment charges were primarily a result of an indication of a decrease in the fair market values of the Eat Smart and Yucatan Foods businesses driven by lower market valuations and a decrease in projected cash flows. The goodwill impairment charge related to the Eat Smart business goodwill is included in Loss from discontinued operations within the Consolidated Statements of Operations. The Yucatan Foods related impairment charges are included in the line item Impairment of goodwill and long-lived and indefinite-lived assets on the Consolidated Statements of Operations and are in the Curation Foods business segment.</w:t>
      </w:r>
    </w:p>
    <w:p>
      <w:pPr>
        <w:spacing w:after="0" w:line="122" w:lineRule="exact"/>
        <w:rPr>
          <w:sz w:val="20"/>
          <w:szCs w:val="20"/>
          <w:color w:val="auto"/>
        </w:rPr>
      </w:pPr>
    </w:p>
    <w:p>
      <w:pPr>
        <w:jc w:val="both"/>
        <w:ind w:firstLine="773"/>
        <w:spacing w:after="0" w:line="279" w:lineRule="auto"/>
        <w:rPr>
          <w:sz w:val="20"/>
          <w:szCs w:val="20"/>
          <w:color w:val="auto"/>
        </w:rPr>
      </w:pPr>
      <w:r>
        <w:rPr>
          <w:rFonts w:ascii="Arial" w:cs="Arial" w:eastAsia="Arial" w:hAnsi="Arial"/>
          <w:sz w:val="17"/>
          <w:szCs w:val="17"/>
          <w:color w:val="auto"/>
        </w:rPr>
        <w:t>Other than the goodwill and intangibles write-offs discussed above, there were no other impairment losses for goodwill or intangibles during fiscal years 2022, 2021 and 2020.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in Non-Public Company</w:t>
      </w:r>
    </w:p>
    <w:p>
      <w:pPr>
        <w:spacing w:after="0" w:line="236" w:lineRule="exact"/>
        <w:rPr>
          <w:sz w:val="20"/>
          <w:szCs w:val="20"/>
          <w:color w:val="auto"/>
        </w:rPr>
      </w:pPr>
    </w:p>
    <w:p>
      <w:pPr>
        <w:jc w:val="both"/>
        <w:ind w:firstLine="773"/>
        <w:spacing w:after="0" w:line="246" w:lineRule="auto"/>
        <w:rPr>
          <w:sz w:val="20"/>
          <w:szCs w:val="20"/>
          <w:color w:val="auto"/>
        </w:rPr>
      </w:pPr>
      <w:r>
        <w:rPr>
          <w:rFonts w:ascii="Arial" w:cs="Arial" w:eastAsia="Arial" w:hAnsi="Arial"/>
          <w:sz w:val="17"/>
          <w:szCs w:val="17"/>
          <w:color w:val="auto"/>
        </w:rPr>
        <w:t>On February 15, 2011, the Company made an investment in Windset which is reported at fair value in the accompanying Consolidated Balance Sheets as of May 30, 2021. The Company has elected to account for its investment in Windset under the fair value option. See Note 2 – Investment in Non-public Company for further information. On June 1, 2021, the Company sold all of its equity interest in Windset to the Newell Capital Corporation and Newell Brothers Investment 2 Corp.</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Interruption Insurance Recoveries</w:t>
      </w:r>
    </w:p>
    <w:p>
      <w:pPr>
        <w:spacing w:after="0" w:line="197" w:lineRule="exact"/>
        <w:rPr>
          <w:sz w:val="20"/>
          <w:szCs w:val="20"/>
          <w:color w:val="auto"/>
        </w:rPr>
      </w:pPr>
    </w:p>
    <w:p>
      <w:pPr>
        <w:jc w:val="both"/>
        <w:ind w:firstLine="773"/>
        <w:spacing w:after="0" w:line="262" w:lineRule="auto"/>
        <w:rPr>
          <w:sz w:val="20"/>
          <w:szCs w:val="20"/>
          <w:color w:val="auto"/>
        </w:rPr>
      </w:pPr>
      <w:r>
        <w:rPr>
          <w:rFonts w:ascii="Arial" w:cs="Arial" w:eastAsia="Arial" w:hAnsi="Arial"/>
          <w:sz w:val="17"/>
          <w:szCs w:val="17"/>
          <w:color w:val="auto"/>
        </w:rPr>
        <w:t>In the third quarter of fiscal year 2019, the Company recalled five SKUs of Eat Smart single-serve Salad Shake-Ups™. In the fourth quarter of fiscal year 2019, the Company submitted a product recall claim. In fiscal year 2020, the Company recognized $3.0 million of business interruption insurance recoveries. Amounts received on insurance recoveries related to business interruption are recorded when amounts are realized and are included within Loss from discontinued operations in the Consolidated Statement of Operations and as operating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Revenue</w:t>
      </w:r>
    </w:p>
    <w:p>
      <w:pPr>
        <w:spacing w:after="0" w:line="18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Cash received in advance of services performed are recorded as deferred revenue.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97" w:lineRule="exact"/>
        <w:rPr>
          <w:sz w:val="20"/>
          <w:szCs w:val="20"/>
          <w:color w:val="auto"/>
        </w:rPr>
      </w:pPr>
    </w:p>
    <w:p>
      <w:pPr>
        <w:jc w:val="both"/>
        <w:ind w:firstLine="773"/>
        <w:spacing w:after="0" w:line="299" w:lineRule="auto"/>
        <w:rPr>
          <w:sz w:val="20"/>
          <w:szCs w:val="20"/>
          <w:color w:val="auto"/>
        </w:rPr>
      </w:pPr>
      <w:r>
        <w:rPr>
          <w:rFonts w:ascii="Arial" w:cs="Arial" w:eastAsia="Arial" w:hAnsi="Arial"/>
          <w:sz w:val="15"/>
          <w:szCs w:val="15"/>
          <w:color w:val="auto"/>
        </w:rPr>
        <w:t>The Company accounts for income taxes in accordance with accounting guidance which requires that deferred tax assets and liabilities be recognized using enacted tax rates for the effect of temporary differences between the book and tax basis of recorded assets and liabilities. The Company maintains valuation allowances when it is likely that all or a portion of a deferred tax asset will not be realized. Changes in valuation allowances from period to period are included in the Company’s income tax provision in the period of change. In determining whether a valuation allowance is warranted, the Company takes into account such factors as prior earnings history, expected future earnings, unsettled circumstances that, if unfavorably resolved, would adversely affect utilization of a deferred tax asset, carryback and carryforward periods and tax strategies that could potentially enhance the likelihood of realization of a deferred tax asset.</w:t>
      </w:r>
    </w:p>
    <w:p>
      <w:pPr>
        <w:spacing w:after="0" w:line="116" w:lineRule="exact"/>
        <w:rPr>
          <w:sz w:val="20"/>
          <w:szCs w:val="20"/>
          <w:color w:val="auto"/>
        </w:rPr>
      </w:pPr>
    </w:p>
    <w:p>
      <w:pPr>
        <w:jc w:val="both"/>
        <w:ind w:firstLine="773"/>
        <w:spacing w:after="0" w:line="262" w:lineRule="auto"/>
        <w:rPr>
          <w:sz w:val="20"/>
          <w:szCs w:val="20"/>
          <w:color w:val="auto"/>
        </w:rPr>
      </w:pPr>
      <w:r>
        <w:rPr>
          <w:rFonts w:ascii="Arial" w:cs="Arial" w:eastAsia="Arial" w:hAnsi="Arial"/>
          <w:sz w:val="17"/>
          <w:szCs w:val="17"/>
          <w:color w:val="auto"/>
        </w:rPr>
        <w:t>In addition to valuation allowances, the Company establishes accruals for uncertain tax positions. The tax-contingency accruals are adjusted in light of changing facts and circumstances, such as the progress of tax audits, case law and emerging legislation. The Company recognizes interest and penalties related to uncertain tax positions as a component of income tax expense. The Company’s effective tax rate includes the impact of tax-contingency accruals as considered appropriate by management.</w:t>
      </w:r>
    </w:p>
    <w:p>
      <w:pPr>
        <w:spacing w:after="0" w:line="139" w:lineRule="exact"/>
        <w:rPr>
          <w:sz w:val="20"/>
          <w:szCs w:val="20"/>
          <w:color w:val="auto"/>
        </w:rPr>
      </w:pPr>
    </w:p>
    <w:p>
      <w:pPr>
        <w:jc w:val="both"/>
        <w:ind w:firstLine="773"/>
        <w:spacing w:after="0" w:line="266" w:lineRule="auto"/>
        <w:rPr>
          <w:sz w:val="20"/>
          <w:szCs w:val="20"/>
          <w:color w:val="auto"/>
        </w:rPr>
      </w:pPr>
      <w:r>
        <w:rPr>
          <w:rFonts w:ascii="Arial" w:cs="Arial" w:eastAsia="Arial" w:hAnsi="Arial"/>
          <w:sz w:val="17"/>
          <w:szCs w:val="17"/>
          <w:color w:val="auto"/>
        </w:rPr>
        <w:t>A number of years may elapse before a particular matter, for which the Company has accrued, is audited and finally resolved. The number of years with open tax audits varies by jurisdiction. While it is often difficult to predict the final outcome or the timing of resolution of any particular tax matter, the Company believes its tax-contingency accruals are adequate to address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5" w:name="page66"/>
    <w:bookmarkEnd w:id="65"/>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known tax contingencies. Favorable resolution of such matters could be recognized as a reduction to the Company’s effective tax rate in the year of resolution. Unfavorable settlement of any particular issue could increase the Company's effective tax rate in the year of resolution. Any resolution of a tax issue may require the use of cash in the year of resolution. The Company’s tax-contingency accruals are recorded in Other accrued liabilities in the accompanying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 Share Information, As Restated</w:t>
      </w:r>
    </w:p>
    <w:p>
      <w:pPr>
        <w:spacing w:after="0" w:line="184" w:lineRule="exact"/>
        <w:rPr>
          <w:sz w:val="20"/>
          <w:szCs w:val="20"/>
          <w:color w:val="auto"/>
        </w:rPr>
      </w:pPr>
    </w:p>
    <w:p>
      <w:pPr>
        <w:jc w:val="both"/>
        <w:ind w:firstLine="773"/>
        <w:spacing w:after="0" w:line="262" w:lineRule="auto"/>
        <w:rPr>
          <w:sz w:val="20"/>
          <w:szCs w:val="20"/>
          <w:color w:val="auto"/>
        </w:rPr>
      </w:pPr>
      <w:r>
        <w:rPr>
          <w:rFonts w:ascii="Arial" w:cs="Arial" w:eastAsia="Arial" w:hAnsi="Arial"/>
          <w:sz w:val="17"/>
          <w:szCs w:val="17"/>
          <w:color w:val="auto"/>
        </w:rPr>
        <w:t>Accounting guidance requires the presentation of basic and diluted earnings per share. Basic earnings per share excludes any dilutive effects of options, warrants and convertible securities and is computed using the weighted average number of common shares outstanding. Diluted earnings per share reflect the potential dilution as if securities or other contracts to issue common stock were exercised or converted into common stock. Diluted common equivalent shares consist of stock options and restricted stock units, calculated using the treasury stock method.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ind w:left="820"/>
              <w:spacing w:after="0"/>
              <w:rPr>
                <w:sz w:val="20"/>
                <w:szCs w:val="20"/>
                <w:color w:val="auto"/>
              </w:rPr>
            </w:pPr>
            <w:r>
              <w:rPr>
                <w:rFonts w:ascii="Arial" w:cs="Arial" w:eastAsia="Arial" w:hAnsi="Arial"/>
                <w:sz w:val="17"/>
                <w:szCs w:val="17"/>
                <w:color w:val="auto"/>
                <w:w w:val="93"/>
              </w:rPr>
              <w:t>The following table sets forth the computation of basic and diluted net loss per share: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13"/>
        </w:trPr>
        <w:tc>
          <w:tcPr>
            <w:tcW w:w="6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89"/>
              </w:rPr>
              <w:t>Year Ended</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11"/>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i w:val="1"/>
                <w:iCs w:val="1"/>
                <w:color w:val="auto"/>
                <w:w w:val="88"/>
              </w:rPr>
              <w:t>As restated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per share amounts)</w:t>
            </w:r>
          </w:p>
        </w:tc>
        <w:tc>
          <w:tcPr>
            <w:tcW w:w="16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May 29, 2022</w:t>
            </w:r>
          </w:p>
        </w:tc>
        <w:tc>
          <w:tcPr>
            <w:tcW w:w="16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May 30, 2021</w:t>
            </w:r>
          </w:p>
        </w:tc>
        <w:tc>
          <w:tcPr>
            <w:tcW w:w="1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31, 2020</w:t>
            </w:r>
          </w:p>
        </w:tc>
      </w:tr>
      <w:tr>
        <w:trPr>
          <w:trHeight w:val="20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(114,679)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(32,665)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(38,191)</w:t>
            </w:r>
          </w:p>
        </w:tc>
      </w:tr>
      <w:tr>
        <w:trPr>
          <w:trHeight w:val="259"/>
        </w:trPr>
        <w:tc>
          <w:tcPr>
            <w:tcW w:w="6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 average shares for basic net loss per share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29,162</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 options and restricted stock units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6820" w:type="dxa"/>
            <w:vAlign w:val="bottom"/>
          </w:tcPr>
          <w:p>
            <w:pPr>
              <w:ind w:left="20"/>
              <w:spacing w:after="0"/>
              <w:rPr>
                <w:sz w:val="20"/>
                <w:szCs w:val="20"/>
                <w:color w:val="auto"/>
              </w:rPr>
            </w:pPr>
            <w:r>
              <w:rPr>
                <w:rFonts w:ascii="Arial" w:cs="Arial" w:eastAsia="Arial" w:hAnsi="Arial"/>
                <w:sz w:val="17"/>
                <w:szCs w:val="17"/>
                <w:color w:val="auto"/>
              </w:rPr>
              <w:t>Weighted average shares for diluted net loss per share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29,466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29,294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29,162</w:t>
            </w:r>
          </w:p>
        </w:tc>
      </w:tr>
      <w:tr>
        <w:trPr>
          <w:trHeight w:val="259"/>
        </w:trPr>
        <w:tc>
          <w:tcPr>
            <w:tcW w:w="6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Basic and diluted net loss per share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(3.90)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(1.31)</w:t>
            </w:r>
          </w:p>
        </w:tc>
      </w:tr>
    </w:tbl>
    <w:p>
      <w:pPr>
        <w:spacing w:after="0" w:line="311" w:lineRule="exact"/>
        <w:rPr>
          <w:sz w:val="20"/>
          <w:szCs w:val="20"/>
          <w:color w:val="auto"/>
        </w:rPr>
      </w:pPr>
    </w:p>
    <w:p>
      <w:pPr>
        <w:jc w:val="both"/>
        <w:ind w:firstLine="773"/>
        <w:spacing w:after="0" w:line="266" w:lineRule="auto"/>
        <w:rPr>
          <w:sz w:val="20"/>
          <w:szCs w:val="20"/>
          <w:color w:val="auto"/>
        </w:rPr>
      </w:pPr>
      <w:r>
        <w:rPr>
          <w:rFonts w:ascii="Arial" w:cs="Arial" w:eastAsia="Arial" w:hAnsi="Arial"/>
          <w:sz w:val="17"/>
          <w:szCs w:val="17"/>
          <w:color w:val="auto"/>
        </w:rPr>
        <w:t>Due to the Company’s net loss in fiscal years 2022, 2021, and 2020 the net loss per share includes only the weighted average shares outstanding and thus excludes restricted stock unit awards ("RSUs") and stock options, as such impact would be antidilutive. See Note 5 - Stock Based Compensation and Stockholders' Equity for more information on outstanding RSUs and stock options.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Expenses</w:t>
      </w:r>
    </w:p>
    <w:p>
      <w:pPr>
        <w:spacing w:after="0" w:line="184" w:lineRule="exact"/>
        <w:rPr>
          <w:sz w:val="20"/>
          <w:szCs w:val="20"/>
          <w:color w:val="auto"/>
        </w:rPr>
      </w:pPr>
    </w:p>
    <w:p>
      <w:pPr>
        <w:jc w:val="both"/>
        <w:ind w:firstLine="773"/>
        <w:spacing w:after="0" w:line="349" w:lineRule="auto"/>
        <w:rPr>
          <w:sz w:val="20"/>
          <w:szCs w:val="20"/>
          <w:color w:val="auto"/>
        </w:rPr>
      </w:pPr>
      <w:r>
        <w:rPr>
          <w:rFonts w:ascii="Arial" w:cs="Arial" w:eastAsia="Arial" w:hAnsi="Arial"/>
          <w:sz w:val="15"/>
          <w:szCs w:val="15"/>
          <w:color w:val="auto"/>
        </w:rPr>
        <w:t>Costs related to both research and development contracts and Company-funded research is included in research and development expenses. Research and development costs are primarily comprised of salaries and related benefits, supplies, travel expenses, consulting expenses and corporate allocations.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for Stock-Based Compensation</w:t>
      </w:r>
    </w:p>
    <w:p>
      <w:pPr>
        <w:spacing w:after="0" w:line="197" w:lineRule="exact"/>
        <w:rPr>
          <w:sz w:val="20"/>
          <w:szCs w:val="20"/>
          <w:color w:val="auto"/>
        </w:rPr>
      </w:pPr>
    </w:p>
    <w:p>
      <w:pPr>
        <w:jc w:val="both"/>
        <w:ind w:firstLine="773"/>
        <w:spacing w:after="0" w:line="266" w:lineRule="auto"/>
        <w:rPr>
          <w:sz w:val="20"/>
          <w:szCs w:val="20"/>
          <w:color w:val="auto"/>
        </w:rPr>
      </w:pPr>
      <w:r>
        <w:rPr>
          <w:rFonts w:ascii="Arial" w:cs="Arial" w:eastAsia="Arial" w:hAnsi="Arial"/>
          <w:sz w:val="17"/>
          <w:szCs w:val="17"/>
          <w:color w:val="auto"/>
        </w:rPr>
        <w:t>The Company’s stock-based awards include stock option grants and RSUs. The Company records compensation expense for stock-based awards issued to employees and directors in exchange for services provided based on the estimated fair value of the awards on their grant dates and is recognized over the required service periods, generally the vesting period.</w:t>
      </w:r>
    </w:p>
    <w:p>
      <w:pPr>
        <w:spacing w:after="0" w:line="136" w:lineRule="exact"/>
        <w:rPr>
          <w:sz w:val="20"/>
          <w:szCs w:val="20"/>
          <w:color w:val="auto"/>
        </w:rPr>
      </w:pPr>
    </w:p>
    <w:p>
      <w:pPr>
        <w:jc w:val="both"/>
        <w:ind w:firstLine="773"/>
        <w:spacing w:after="0" w:line="262" w:lineRule="auto"/>
        <w:rPr>
          <w:sz w:val="20"/>
          <w:szCs w:val="20"/>
          <w:color w:val="auto"/>
        </w:rPr>
      </w:pPr>
      <w:r>
        <w:rPr>
          <w:rFonts w:ascii="Arial" w:cs="Arial" w:eastAsia="Arial" w:hAnsi="Arial"/>
          <w:sz w:val="17"/>
          <w:szCs w:val="17"/>
          <w:color w:val="auto"/>
        </w:rPr>
        <w:t>The estimated fair value for stock options, which determines the Company’s calculation of stock-based compensation expense, is based on the Black-Scholes option pricing model. The use of Black-Scholes requires the Company to make estimates and assumptions, such as expected volatility, expected term, and risk-free interest rate. RSUs are valued at the closing market price of the Company’s common stock on the date of grant. The Company uses the straight-line single option method to calculate and recognize the fair value of stock-based compensation arrangements.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Savings and Investment Plans</w:t>
      </w:r>
    </w:p>
    <w:p>
      <w:pPr>
        <w:spacing w:after="0" w:line="197" w:lineRule="exact"/>
        <w:rPr>
          <w:sz w:val="20"/>
          <w:szCs w:val="20"/>
          <w:color w:val="auto"/>
        </w:rPr>
      </w:pPr>
    </w:p>
    <w:p>
      <w:pPr>
        <w:jc w:val="both"/>
        <w:ind w:firstLine="773"/>
        <w:spacing w:after="0" w:line="279" w:lineRule="auto"/>
        <w:rPr>
          <w:sz w:val="20"/>
          <w:szCs w:val="20"/>
          <w:color w:val="auto"/>
        </w:rPr>
      </w:pPr>
      <w:r>
        <w:rPr>
          <w:rFonts w:ascii="Arial" w:cs="Arial" w:eastAsia="Arial" w:hAnsi="Arial"/>
          <w:sz w:val="17"/>
          <w:szCs w:val="17"/>
          <w:color w:val="auto"/>
        </w:rPr>
        <w:t>The Company sponsors a 401(k) plan (“Landec Plan”), which is available to all full-time Landec employees and allows participants to contribute from 1% to 50% of their salaries, up to the Internal Revenue Service limitation into designated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6" w:name="page67"/>
    <w:bookmarkEnd w:id="66"/>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investment funds. The Company matches 100% on the first 3% and 50% on the next 2% contributed by an employee. Employee and Company contributions are fully vested at the time of the contributions. The Company retains the right, by action of the Board of Directors, to amend, modify, or terminate the plan. For fiscal years 2022, 2021 and 2020, the Company contributed $1.4 million, $1.1 million and $1.1 million</w:t>
      </w:r>
      <w:r>
        <w:rPr>
          <w:rFonts w:ascii="Arial" w:cs="Arial" w:eastAsia="Arial" w:hAnsi="Arial"/>
          <w:sz w:val="16"/>
          <w:szCs w:val="16"/>
          <w:b w:val="1"/>
          <w:bCs w:val="1"/>
          <w:color w:val="auto"/>
        </w:rPr>
        <w:t>,</w:t>
      </w:r>
      <w:r>
        <w:rPr>
          <w:rFonts w:ascii="Arial" w:cs="Arial" w:eastAsia="Arial" w:hAnsi="Arial"/>
          <w:sz w:val="16"/>
          <w:szCs w:val="16"/>
          <w:color w:val="auto"/>
        </w:rPr>
        <w:t xml:space="preserve"> respectively, to the Landec Plan.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184" w:lineRule="exact"/>
        <w:rPr>
          <w:sz w:val="20"/>
          <w:szCs w:val="20"/>
          <w:color w:val="auto"/>
        </w:rPr>
      </w:pPr>
    </w:p>
    <w:p>
      <w:pPr>
        <w:jc w:val="both"/>
        <w:ind w:firstLine="773"/>
        <w:spacing w:after="0" w:line="266" w:lineRule="auto"/>
        <w:rPr>
          <w:sz w:val="20"/>
          <w:szCs w:val="20"/>
          <w:color w:val="auto"/>
        </w:rPr>
      </w:pPr>
      <w:r>
        <w:rPr>
          <w:rFonts w:ascii="Arial" w:cs="Arial" w:eastAsia="Arial" w:hAnsi="Arial"/>
          <w:sz w:val="17"/>
          <w:szCs w:val="17"/>
          <w:color w:val="auto"/>
        </w:rPr>
        <w:t>The Company uses fair value measurement accounting for financial assets and liabilities and for financial instruments and certain other items measured at fair value. The Company has elected the fair value option for its investment in a non-public company. The Company has not elected the fair value option for any of its other eligible financial assets or liabilities.</w:t>
      </w:r>
    </w:p>
    <w:p>
      <w:pPr>
        <w:spacing w:after="0" w:line="149" w:lineRule="exact"/>
        <w:rPr>
          <w:sz w:val="20"/>
          <w:szCs w:val="20"/>
          <w:color w:val="auto"/>
        </w:rPr>
      </w:pPr>
    </w:p>
    <w:p>
      <w:pPr>
        <w:ind w:left="780"/>
        <w:spacing w:after="0"/>
        <w:rPr>
          <w:sz w:val="20"/>
          <w:szCs w:val="20"/>
          <w:color w:val="auto"/>
        </w:rPr>
      </w:pPr>
      <w:r>
        <w:rPr>
          <w:rFonts w:ascii="Arial" w:cs="Arial" w:eastAsia="Arial" w:hAnsi="Arial"/>
          <w:sz w:val="15"/>
          <w:szCs w:val="15"/>
          <w:color w:val="auto"/>
        </w:rPr>
        <w:t>Applicable accounting guidance establishes a three-tier hierarchy for fair value measurements, which prioritizes the inputs used in measuring fair value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as follows:</w:t>
      </w:r>
    </w:p>
    <w:p>
      <w:pPr>
        <w:spacing w:after="0" w:line="168" w:lineRule="exact"/>
        <w:rPr>
          <w:sz w:val="20"/>
          <w:szCs w:val="20"/>
          <w:color w:val="auto"/>
        </w:rPr>
      </w:pPr>
    </w:p>
    <w:p>
      <w:pPr>
        <w:ind w:left="780"/>
        <w:spacing w:after="0"/>
        <w:tabs>
          <w:tab w:leader="none" w:pos="1620" w:val="left"/>
        </w:tabs>
        <w:rPr>
          <w:sz w:val="20"/>
          <w:szCs w:val="20"/>
          <w:color w:val="auto"/>
        </w:rPr>
      </w:pPr>
      <w:r>
        <w:rPr>
          <w:rFonts w:ascii="Arial" w:cs="Arial" w:eastAsia="Arial" w:hAnsi="Arial"/>
          <w:sz w:val="17"/>
          <w:szCs w:val="17"/>
          <w:color w:val="auto"/>
        </w:rPr>
        <w:t>Level 1 –</w:t>
      </w:r>
      <w:r>
        <w:rPr>
          <w:sz w:val="20"/>
          <w:szCs w:val="20"/>
          <w:color w:val="auto"/>
        </w:rPr>
        <w:tab/>
      </w:r>
      <w:r>
        <w:rPr>
          <w:rFonts w:ascii="Arial" w:cs="Arial" w:eastAsia="Arial" w:hAnsi="Arial"/>
          <w:sz w:val="15"/>
          <w:szCs w:val="15"/>
          <w:color w:val="auto"/>
        </w:rPr>
        <w:t>observable inputs such as quoted prices for identical instruments in active markets.</w:t>
      </w:r>
    </w:p>
    <w:p>
      <w:pPr>
        <w:spacing w:after="0" w:line="178" w:lineRule="exact"/>
        <w:rPr>
          <w:sz w:val="20"/>
          <w:szCs w:val="20"/>
          <w:color w:val="auto"/>
        </w:rPr>
      </w:pPr>
    </w:p>
    <w:p>
      <w:pPr>
        <w:ind w:left="1560" w:hanging="773"/>
        <w:spacing w:after="0" w:line="279" w:lineRule="auto"/>
        <w:tabs>
          <w:tab w:leader="none" w:pos="1540" w:val="left"/>
        </w:tabs>
        <w:rPr>
          <w:sz w:val="20"/>
          <w:szCs w:val="20"/>
          <w:color w:val="auto"/>
        </w:rPr>
      </w:pPr>
      <w:r>
        <w:rPr>
          <w:rFonts w:ascii="Arial" w:cs="Arial" w:eastAsia="Arial" w:hAnsi="Arial"/>
          <w:sz w:val="17"/>
          <w:szCs w:val="17"/>
          <w:color w:val="auto"/>
        </w:rPr>
        <w:t>Level 2 –</w:t>
        <w:tab/>
        <w:t>inputs other than quoted prices in active markets that are observable either directly or indirectly through corroboration with observable market data.</w:t>
      </w:r>
    </w:p>
    <w:p>
      <w:pPr>
        <w:spacing w:after="0" w:line="139" w:lineRule="exact"/>
        <w:rPr>
          <w:sz w:val="20"/>
          <w:szCs w:val="20"/>
          <w:color w:val="auto"/>
        </w:rPr>
      </w:pPr>
    </w:p>
    <w:p>
      <w:pPr>
        <w:ind w:left="780"/>
        <w:spacing w:after="0"/>
        <w:tabs>
          <w:tab w:leader="none" w:pos="1620" w:val="left"/>
        </w:tabs>
        <w:rPr>
          <w:sz w:val="20"/>
          <w:szCs w:val="20"/>
          <w:color w:val="auto"/>
        </w:rPr>
      </w:pPr>
      <w:r>
        <w:rPr>
          <w:rFonts w:ascii="Arial" w:cs="Arial" w:eastAsia="Arial" w:hAnsi="Arial"/>
          <w:sz w:val="17"/>
          <w:szCs w:val="17"/>
          <w:color w:val="auto"/>
        </w:rPr>
        <w:t>Level 3 –</w:t>
      </w:r>
      <w:r>
        <w:rPr>
          <w:sz w:val="20"/>
          <w:szCs w:val="20"/>
          <w:color w:val="auto"/>
        </w:rPr>
        <w:tab/>
      </w:r>
      <w:r>
        <w:rPr>
          <w:rFonts w:ascii="Arial" w:cs="Arial" w:eastAsia="Arial" w:hAnsi="Arial"/>
          <w:sz w:val="15"/>
          <w:szCs w:val="15"/>
          <w:color w:val="auto"/>
        </w:rPr>
        <w:t>unobservable inputs in which there is little or no market data, which would require the Company to develop its own assumptions.</w:t>
      </w:r>
    </w:p>
    <w:p>
      <w:pPr>
        <w:spacing w:after="0" w:line="178" w:lineRule="exact"/>
        <w:rPr>
          <w:sz w:val="20"/>
          <w:szCs w:val="20"/>
          <w:color w:val="auto"/>
        </w:rPr>
      </w:pPr>
    </w:p>
    <w:p>
      <w:pPr>
        <w:jc w:val="both"/>
        <w:ind w:firstLine="773"/>
        <w:spacing w:after="0" w:line="279" w:lineRule="auto"/>
        <w:rPr>
          <w:sz w:val="20"/>
          <w:szCs w:val="20"/>
          <w:color w:val="auto"/>
        </w:rPr>
      </w:pPr>
      <w:r>
        <w:rPr>
          <w:rFonts w:ascii="Arial" w:cs="Arial" w:eastAsia="Arial" w:hAnsi="Arial"/>
          <w:sz w:val="17"/>
          <w:szCs w:val="17"/>
          <w:color w:val="auto"/>
        </w:rPr>
        <w:t>As of May 29, 2022 and May 30, 2021, the Company held certain assets and liabilities that were required to be measured at fair value on a recurring basis, including its interest rate swap, and its minority interest investment in Windset.</w:t>
      </w:r>
    </w:p>
    <w:p>
      <w:pPr>
        <w:spacing w:after="0" w:line="126" w:lineRule="exact"/>
        <w:rPr>
          <w:sz w:val="20"/>
          <w:szCs w:val="20"/>
          <w:color w:val="auto"/>
        </w:rPr>
      </w:pPr>
    </w:p>
    <w:p>
      <w:pPr>
        <w:jc w:val="both"/>
        <w:ind w:firstLine="773"/>
        <w:spacing w:after="0" w:line="266" w:lineRule="auto"/>
        <w:rPr>
          <w:sz w:val="20"/>
          <w:szCs w:val="20"/>
          <w:color w:val="auto"/>
        </w:rPr>
      </w:pPr>
      <w:r>
        <w:rPr>
          <w:rFonts w:ascii="Arial" w:cs="Arial" w:eastAsia="Arial" w:hAnsi="Arial"/>
          <w:sz w:val="17"/>
          <w:szCs w:val="17"/>
          <w:color w:val="auto"/>
        </w:rPr>
        <w:t>The fair value of the Company’s interest rate swap contracts is determined based on model inputs that can be observed in a liquid market, including yield curves, and is categorized as a Level 2 fair value measurement and is included in Other assets or Other non-current liabilities in the accompanying Consolidated Balance Sheets.</w:t>
      </w:r>
    </w:p>
    <w:p>
      <w:pPr>
        <w:spacing w:after="0" w:line="149" w:lineRule="exact"/>
        <w:rPr>
          <w:sz w:val="20"/>
          <w:szCs w:val="20"/>
          <w:color w:val="auto"/>
        </w:rPr>
      </w:pPr>
    </w:p>
    <w:p>
      <w:pPr>
        <w:jc w:val="both"/>
        <w:ind w:firstLine="773"/>
        <w:spacing w:after="0" w:line="277" w:lineRule="auto"/>
        <w:rPr>
          <w:sz w:val="20"/>
          <w:szCs w:val="20"/>
          <w:color w:val="auto"/>
        </w:rPr>
      </w:pPr>
      <w:r>
        <w:rPr>
          <w:rFonts w:ascii="Arial" w:cs="Arial" w:eastAsia="Arial" w:hAnsi="Arial"/>
          <w:sz w:val="16"/>
          <w:szCs w:val="16"/>
          <w:color w:val="auto"/>
        </w:rPr>
        <w:t>As of May 29, 2022, related to the assets of Curation Foods’ BreatheWay packaging technology business, the Company had $1.0 million in Prepaid expenses and other current assets within the Consolidated Balance Sheets meeting the criteria of held for sale. As of May 30, 2021, related to Curation Foods’ distribution facility in Rock Hill, South Carolina the Company had $0.5 million in Current assets, discontinued operations within the Consolidated Balance Sheets meeting the criteria of assets held for sale. These assets are recognized at the lower of cost or fair value less cost to sell using market approach. The fair value of these assets are classified as level 3 in the fair value hierarchy due to a mix of unobservable inputs utilized such as independent research in the market as well as actual quotes from market participants. See Note 3 - Property and Equipment and Note 13 - Restructuring Costs for additional information.</w:t>
      </w:r>
    </w:p>
    <w:p>
      <w:pPr>
        <w:spacing w:after="0" w:line="131" w:lineRule="exact"/>
        <w:rPr>
          <w:sz w:val="20"/>
          <w:szCs w:val="20"/>
          <w:color w:val="auto"/>
        </w:rPr>
      </w:pPr>
    </w:p>
    <w:p>
      <w:pPr>
        <w:jc w:val="both"/>
        <w:ind w:firstLine="773"/>
        <w:spacing w:after="0" w:line="262" w:lineRule="auto"/>
        <w:rPr>
          <w:sz w:val="20"/>
          <w:szCs w:val="20"/>
          <w:color w:val="auto"/>
        </w:rPr>
      </w:pPr>
      <w:r>
        <w:rPr>
          <w:rFonts w:ascii="Arial" w:cs="Arial" w:eastAsia="Arial" w:hAnsi="Arial"/>
          <w:sz w:val="17"/>
          <w:szCs w:val="17"/>
          <w:color w:val="auto"/>
        </w:rPr>
        <w:t>The Company elected the fair value option of accounting for its investment in Windset. The calculation of fair value utilized significant unobservable inputs, including projected cash flows, growth rates, and discount rates. As a result, the Company’s investment in Windset was considered to be a Level 3 measurement investment. The Company sold its entire investment in Windset on June 1, 2021 for $45.1 million. No gain or loss was recorded upon the sale of the Company’s investment in Windset.</w:t>
      </w:r>
    </w:p>
    <w:p>
      <w:pPr>
        <w:spacing w:after="0" w:line="139" w:lineRule="exact"/>
        <w:rPr>
          <w:sz w:val="20"/>
          <w:szCs w:val="20"/>
          <w:color w:val="auto"/>
        </w:rPr>
      </w:pPr>
    </w:p>
    <w:p>
      <w:pPr>
        <w:jc w:val="both"/>
        <w:ind w:firstLine="773"/>
        <w:spacing w:after="0" w:line="279" w:lineRule="auto"/>
        <w:rPr>
          <w:sz w:val="20"/>
          <w:szCs w:val="20"/>
          <w:color w:val="auto"/>
        </w:rPr>
      </w:pPr>
      <w:r>
        <w:rPr>
          <w:rFonts w:ascii="Arial" w:cs="Arial" w:eastAsia="Arial" w:hAnsi="Arial"/>
          <w:sz w:val="17"/>
          <w:szCs w:val="17"/>
          <w:color w:val="auto"/>
        </w:rPr>
        <w:t>In determining the fair value of the Company's investment in Windset, the Company utilizes the following significant unobservable inputs in the discounted cash flow models: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w w:val="91"/>
              </w:rPr>
              <w:t>May 30, 2021 Range (Weighted</w:t>
            </w:r>
          </w:p>
        </w:tc>
      </w:tr>
      <w:tr>
        <w:trPr>
          <w:trHeight w:val="224"/>
        </w:trPr>
        <w:tc>
          <w:tcPr>
            <w:tcW w:w="7760" w:type="dxa"/>
            <w:vAlign w:val="bottom"/>
            <w:tcBorders>
              <w:bottom w:val="single" w:sz="8" w:color="CCEEFF"/>
            </w:tcBorders>
          </w:tcPr>
          <w:p>
            <w:pPr>
              <w:spacing w:after="0"/>
              <w:rPr>
                <w:sz w:val="19"/>
                <w:szCs w:val="19"/>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Average)</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growth rates</w:t>
            </w:r>
          </w:p>
        </w:tc>
        <w:tc>
          <w:tcPr>
            <w:tcW w:w="256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7% (6.9%)</w:t>
            </w:r>
          </w:p>
        </w:tc>
      </w:tr>
      <w:tr>
        <w:trPr>
          <w:trHeight w:val="218"/>
        </w:trPr>
        <w:tc>
          <w:tcPr>
            <w:tcW w:w="7760" w:type="dxa"/>
            <w:vAlign w:val="bottom"/>
          </w:tcPr>
          <w:p>
            <w:pPr>
              <w:ind w:left="20"/>
              <w:spacing w:after="0"/>
              <w:rPr>
                <w:sz w:val="20"/>
                <w:szCs w:val="20"/>
                <w:color w:val="auto"/>
              </w:rPr>
            </w:pPr>
            <w:r>
              <w:rPr>
                <w:rFonts w:ascii="Arial" w:cs="Arial" w:eastAsia="Arial" w:hAnsi="Arial"/>
                <w:sz w:val="17"/>
                <w:szCs w:val="17"/>
                <w:color w:val="auto"/>
              </w:rPr>
              <w:t>Expense growth rates</w:t>
            </w:r>
          </w:p>
        </w:tc>
        <w:tc>
          <w:tcPr>
            <w:tcW w:w="2560" w:type="dxa"/>
            <w:vAlign w:val="bottom"/>
          </w:tcPr>
          <w:p>
            <w:pPr>
              <w:jc w:val="center"/>
              <w:spacing w:after="0"/>
              <w:rPr>
                <w:sz w:val="20"/>
                <w:szCs w:val="20"/>
                <w:color w:val="auto"/>
              </w:rPr>
            </w:pPr>
            <w:r>
              <w:rPr>
                <w:rFonts w:ascii="Arial" w:cs="Arial" w:eastAsia="Arial" w:hAnsi="Arial"/>
                <w:sz w:val="17"/>
                <w:szCs w:val="17"/>
                <w:color w:val="auto"/>
                <w:w w:val="94"/>
              </w:rPr>
              <w:t>0% to 8% (5.5%)</w:t>
            </w:r>
          </w:p>
        </w:tc>
      </w:tr>
      <w:tr>
        <w:trPr>
          <w:trHeight w:val="22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rates</w:t>
            </w:r>
          </w:p>
        </w:tc>
        <w:tc>
          <w:tcPr>
            <w:tcW w:w="256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10%</w:t>
            </w:r>
          </w:p>
        </w:tc>
      </w:tr>
    </w:tbl>
    <w:p>
      <w:pPr>
        <w:spacing w:after="0" w:line="297" w:lineRule="exact"/>
        <w:rPr>
          <w:sz w:val="20"/>
          <w:szCs w:val="20"/>
          <w:color w:val="auto"/>
        </w:rPr>
      </w:pPr>
    </w:p>
    <w:p>
      <w:pPr>
        <w:ind w:firstLine="773"/>
        <w:spacing w:after="0" w:line="312" w:lineRule="auto"/>
        <w:rPr>
          <w:sz w:val="20"/>
          <w:szCs w:val="20"/>
          <w:color w:val="auto"/>
        </w:rPr>
      </w:pPr>
      <w:r>
        <w:rPr>
          <w:rFonts w:ascii="Arial" w:cs="Arial" w:eastAsia="Arial" w:hAnsi="Arial"/>
          <w:sz w:val="16"/>
          <w:szCs w:val="16"/>
          <w:color w:val="auto"/>
        </w:rPr>
        <w:t>Imprecision in estimating unobservable market inputs can affect the amount of gain or loss recorded for a particular position.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7" w:name="page68"/>
    <w:bookmarkEnd w:id="67"/>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360" w:firstLine="619"/>
        <w:spacing w:after="0" w:line="276" w:lineRule="auto"/>
        <w:rPr>
          <w:sz w:val="20"/>
          <w:szCs w:val="20"/>
          <w:color w:val="auto"/>
        </w:rPr>
      </w:pPr>
      <w:r>
        <w:rPr>
          <w:rFonts w:ascii="Arial" w:cs="Arial" w:eastAsia="Arial" w:hAnsi="Arial"/>
          <w:sz w:val="17"/>
          <w:szCs w:val="17"/>
          <w:color w:val="auto"/>
        </w:rPr>
        <w:t>The following table summarizes the fair value of the Company’s assets and liabilities that are measured at fair value on a recurring and non-recurring basis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ind w:left="700"/>
              <w:spacing w:after="0"/>
              <w:rPr>
                <w:sz w:val="20"/>
                <w:szCs w:val="20"/>
                <w:color w:val="auto"/>
              </w:rPr>
            </w:pPr>
            <w:r>
              <w:rPr>
                <w:rFonts w:ascii="Arial" w:cs="Arial" w:eastAsia="Arial" w:hAnsi="Arial"/>
                <w:sz w:val="17"/>
                <w:szCs w:val="17"/>
                <w:color w:val="auto"/>
                <w:w w:val="93"/>
              </w:rPr>
              <w:t>Fair Value at May 29, 2022</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ind w:left="700"/>
              <w:spacing w:after="0"/>
              <w:rPr>
                <w:sz w:val="20"/>
                <w:szCs w:val="20"/>
                <w:color w:val="auto"/>
              </w:rPr>
            </w:pPr>
            <w:r>
              <w:rPr>
                <w:rFonts w:ascii="Arial" w:cs="Arial" w:eastAsia="Arial" w:hAnsi="Arial"/>
                <w:sz w:val="17"/>
                <w:szCs w:val="17"/>
                <w:color w:val="auto"/>
                <w:w w:val="93"/>
              </w:rPr>
              <w:t>Fair Value at May 30, 2021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Level 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Level 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94"/>
              </w:rPr>
              <w:t>Level 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Level 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Level 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98"/>
              </w:rPr>
              <w:t>Level 3</w:t>
            </w: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held for sale - nonrecurring</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700" w:type="dxa"/>
            <w:vAlign w:val="bottom"/>
          </w:tcPr>
          <w:p>
            <w:pPr>
              <w:ind w:left="20"/>
              <w:spacing w:after="0"/>
              <w:rPr>
                <w:sz w:val="20"/>
                <w:szCs w:val="20"/>
                <w:color w:val="auto"/>
              </w:rPr>
            </w:pPr>
            <w:r>
              <w:rPr>
                <w:rFonts w:ascii="Arial" w:cs="Arial" w:eastAsia="Arial" w:hAnsi="Arial"/>
                <w:sz w:val="17"/>
                <w:szCs w:val="17"/>
                <w:color w:val="auto"/>
              </w:rPr>
              <w:t>Current assets, discontinued operations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Assets held for sale - nonrecurring</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18"/>
        </w:trPr>
        <w:tc>
          <w:tcPr>
            <w:tcW w:w="3700" w:type="dxa"/>
            <w:vAlign w:val="bottom"/>
          </w:tcPr>
          <w:p>
            <w:pPr>
              <w:ind w:left="20"/>
              <w:spacing w:after="0"/>
              <w:rPr>
                <w:sz w:val="20"/>
                <w:szCs w:val="20"/>
                <w:color w:val="auto"/>
              </w:rPr>
            </w:pPr>
            <w:r>
              <w:rPr>
                <w:rFonts w:ascii="Arial" w:cs="Arial" w:eastAsia="Arial" w:hAnsi="Arial"/>
                <w:sz w:val="17"/>
                <w:szCs w:val="17"/>
                <w:color w:val="auto"/>
              </w:rPr>
              <w:t>Other assets, discontinued operations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Investment in non-public company</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45,100</w:t>
            </w:r>
          </w:p>
        </w:tc>
        <w:tc>
          <w:tcPr>
            <w:tcW w:w="0" w:type="dxa"/>
            <w:vAlign w:val="bottom"/>
          </w:tcPr>
          <w:p>
            <w:pPr>
              <w:spacing w:after="0"/>
              <w:rPr>
                <w:sz w:val="1"/>
                <w:szCs w:val="1"/>
                <w:color w:val="auto"/>
              </w:rPr>
            </w:pPr>
          </w:p>
        </w:tc>
      </w:tr>
      <w:tr>
        <w:trPr>
          <w:trHeight w:val="218"/>
        </w:trPr>
        <w:tc>
          <w:tcPr>
            <w:tcW w:w="3700" w:type="dxa"/>
            <w:vAlign w:val="bottom"/>
          </w:tcPr>
          <w:p>
            <w:pPr>
              <w:ind w:left="20"/>
              <w:spacing w:after="0"/>
              <w:rPr>
                <w:sz w:val="20"/>
                <w:szCs w:val="20"/>
                <w:color w:val="auto"/>
              </w:rPr>
            </w:pPr>
            <w:r>
              <w:rPr>
                <w:rFonts w:ascii="Arial" w:cs="Arial" w:eastAsia="Arial" w:hAnsi="Arial"/>
                <w:sz w:val="17"/>
                <w:szCs w:val="17"/>
                <w:color w:val="auto"/>
              </w:rPr>
              <w:t>Property &amp; equipment, as restated</w:t>
            </w:r>
          </w:p>
        </w:tc>
        <w:tc>
          <w:tcPr>
            <w:tcW w:w="22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 as restated</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Tradenames, as restated</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3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assets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45,615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 contracts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7"/>
                <w:szCs w:val="17"/>
                <w:color w:val="auto"/>
              </w:rPr>
              <w:t>Total liabilities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1,736</w:t>
            </w:r>
          </w:p>
        </w:tc>
        <w:tc>
          <w:tcPr>
            <w:tcW w:w="12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The following table reflects the fair value roll forward reconciliation of Level 3 assets and liabilities measured at fair value for the twelve months ended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May 29, 2022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96"/>
              </w:rPr>
              <w:t>Windset Investment</w:t>
            </w:r>
          </w:p>
        </w:tc>
      </w:tr>
      <w:tr>
        <w:trPr>
          <w:trHeight w:val="213"/>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May 30, 2021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45,100</w:t>
            </w:r>
          </w:p>
        </w:tc>
      </w:tr>
      <w:tr>
        <w:trPr>
          <w:trHeight w:val="218"/>
        </w:trPr>
        <w:tc>
          <w:tcPr>
            <w:tcW w:w="92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Sale of Investment in non-public company</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(45,100)</w:t>
            </w:r>
          </w:p>
        </w:tc>
      </w:tr>
      <w:tr>
        <w:trPr>
          <w:trHeight w:val="238"/>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May 29, 2022</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valuation for Yucatan Foods</w:t>
      </w:r>
    </w:p>
    <w:p>
      <w:pPr>
        <w:spacing w:after="0" w:line="17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As disclosed in Note 1 - Correction of Error in Previously Reported Fiscal Year 2022 Annual Financial Statements, the Company is restating its previously issued financial statements to record an impairment of the property &amp; equipment, trademarks/tradenames and customer relationships intangible assets in the Curation Foods business segment for Yucatan Foods that resulted in the write-down of those assets to their respective fair value as of May 29, 2022. We performed the impairment valuation using a quantitative assessment using a discounted cash flow to value goodwill, royalty savings method to value the trademarks/tradenames, multi-period excess earnings method to value the customer relationships, and orderly liquidation valuation to value property and equipment. The results of our impairment test resulted in the fair value of property &amp; equipment, trademarks/tradenames and customer relationships intangible assets exceeding the respective carrying amounts as of the assessment date.</w:t>
      </w:r>
    </w:p>
    <w:p>
      <w:pPr>
        <w:spacing w:after="0" w:line="14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calculation of fair value utilized significant unobservable inputs, including projected cash flows, growth rates, royalty rates, attrition rates, and discount rates. As a result, the Company’s trademarks/tradenames and customer relationships intangible assets for Yucatan were considered to be a Level 3 measurement. Property &amp; equipment was determined to be a Level 2 measurement as fair value was determined to be equal to Orderly Liquidation Value and assumes “a reasonable period of time to find a purchaser” over a period of approximately six to 12 months.</w:t>
      </w:r>
    </w:p>
    <w:p>
      <w:pPr>
        <w:spacing w:after="0" w:line="15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determining the fair value of the Company’s trademarks/tradenames and customer relationships intangible assets for Yucatan, the Company utilizes the following significant unobservable inputs in the discounted cash flow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8" w:name="page69"/>
    <w:bookmarkEnd w:id="68"/>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20" w:type="dxa"/>
            <w:vAlign w:val="bottom"/>
            <w:shd w:val="clear" w:color="auto" w:fill="CCEEFF"/>
          </w:tcPr>
          <w:p>
            <w:pPr>
              <w:spacing w:after="0"/>
              <w:rPr>
                <w:sz w:val="16"/>
                <w:szCs w:val="16"/>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May 29, 2022</w:t>
            </w:r>
          </w:p>
        </w:tc>
      </w:tr>
      <w:tr>
        <w:trPr>
          <w:trHeight w:val="219"/>
        </w:trPr>
        <w:tc>
          <w:tcPr>
            <w:tcW w:w="7220" w:type="dxa"/>
            <w:vAlign w:val="bottom"/>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Range (Average)</w:t>
            </w:r>
          </w:p>
        </w:tc>
      </w:tr>
      <w:tr>
        <w:trPr>
          <w:trHeight w:val="198"/>
        </w:trPr>
        <w:tc>
          <w:tcPr>
            <w:tcW w:w="7220" w:type="dxa"/>
            <w:vAlign w:val="bottom"/>
          </w:tcPr>
          <w:p>
            <w:pPr>
              <w:ind w:left="20"/>
              <w:spacing w:after="0"/>
              <w:rPr>
                <w:sz w:val="20"/>
                <w:szCs w:val="20"/>
                <w:color w:val="auto"/>
              </w:rPr>
            </w:pPr>
            <w:r>
              <w:rPr>
                <w:rFonts w:ascii="Arial" w:cs="Arial" w:eastAsia="Arial" w:hAnsi="Arial"/>
                <w:sz w:val="17"/>
                <w:szCs w:val="17"/>
                <w:color w:val="auto"/>
              </w:rPr>
              <w:t>Total Enterprise Value</w:t>
            </w:r>
          </w:p>
        </w:tc>
        <w:tc>
          <w:tcPr>
            <w:tcW w:w="2400" w:type="dxa"/>
            <w:vAlign w:val="bottom"/>
          </w:tcPr>
          <w:p>
            <w:pPr>
              <w:spacing w:after="0"/>
              <w:rPr>
                <w:sz w:val="17"/>
                <w:szCs w:val="17"/>
                <w:color w:val="auto"/>
              </w:rPr>
            </w:pPr>
          </w:p>
        </w:tc>
      </w:tr>
      <w:tr>
        <w:trPr>
          <w:trHeight w:val="220"/>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growth rates</w:t>
            </w:r>
          </w:p>
        </w:tc>
        <w:tc>
          <w:tcPr>
            <w:tcW w:w="2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2.5% - 7.3% (3.4%)</w:t>
            </w:r>
          </w:p>
        </w:tc>
      </w:tr>
      <w:tr>
        <w:trPr>
          <w:trHeight w:val="218"/>
        </w:trPr>
        <w:tc>
          <w:tcPr>
            <w:tcW w:w="7220" w:type="dxa"/>
            <w:vAlign w:val="bottom"/>
          </w:tcPr>
          <w:p>
            <w:pPr>
              <w:ind w:left="20"/>
              <w:spacing w:after="0"/>
              <w:rPr>
                <w:sz w:val="20"/>
                <w:szCs w:val="20"/>
                <w:color w:val="auto"/>
              </w:rPr>
            </w:pPr>
            <w:r>
              <w:rPr>
                <w:rFonts w:ascii="Arial" w:cs="Arial" w:eastAsia="Arial" w:hAnsi="Arial"/>
                <w:sz w:val="17"/>
                <w:szCs w:val="17"/>
                <w:color w:val="auto"/>
              </w:rPr>
              <w:t>Gross profit rates</w:t>
            </w:r>
          </w:p>
        </w:tc>
        <w:tc>
          <w:tcPr>
            <w:tcW w:w="2400" w:type="dxa"/>
            <w:vAlign w:val="bottom"/>
          </w:tcPr>
          <w:p>
            <w:pPr>
              <w:jc w:val="center"/>
              <w:spacing w:after="0"/>
              <w:rPr>
                <w:sz w:val="20"/>
                <w:szCs w:val="20"/>
                <w:color w:val="auto"/>
              </w:rPr>
            </w:pPr>
            <w:r>
              <w:rPr>
                <w:rFonts w:ascii="Arial" w:cs="Arial" w:eastAsia="Arial" w:hAnsi="Arial"/>
                <w:sz w:val="17"/>
                <w:szCs w:val="17"/>
                <w:color w:val="auto"/>
                <w:w w:val="93"/>
              </w:rPr>
              <w:t>6.0% - 15.5% (14.5%)</w:t>
            </w:r>
          </w:p>
        </w:tc>
      </w:tr>
      <w:tr>
        <w:trPr>
          <w:trHeight w:val="220"/>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2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8.7%</w:t>
            </w:r>
          </w:p>
        </w:tc>
      </w:tr>
      <w:tr>
        <w:trPr>
          <w:trHeight w:val="258"/>
        </w:trPr>
        <w:tc>
          <w:tcPr>
            <w:tcW w:w="722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 Value</w:t>
            </w:r>
          </w:p>
        </w:tc>
        <w:tc>
          <w:tcPr>
            <w:tcW w:w="2400" w:type="dxa"/>
            <w:vAlign w:val="bottom"/>
            <w:shd w:val="clear" w:color="auto" w:fill="CCEEFF"/>
          </w:tcPr>
          <w:p>
            <w:pPr>
              <w:spacing w:after="0"/>
              <w:rPr>
                <w:sz w:val="19"/>
                <w:szCs w:val="19"/>
                <w:color w:val="auto"/>
              </w:rPr>
            </w:pPr>
          </w:p>
        </w:tc>
      </w:tr>
      <w:tr>
        <w:trPr>
          <w:trHeight w:val="218"/>
        </w:trPr>
        <w:tc>
          <w:tcPr>
            <w:tcW w:w="7220" w:type="dxa"/>
            <w:vAlign w:val="bottom"/>
          </w:tcPr>
          <w:p>
            <w:pPr>
              <w:ind w:left="20"/>
              <w:spacing w:after="0"/>
              <w:rPr>
                <w:sz w:val="20"/>
                <w:szCs w:val="20"/>
                <w:color w:val="auto"/>
              </w:rPr>
            </w:pPr>
            <w:r>
              <w:rPr>
                <w:rFonts w:ascii="Arial" w:cs="Arial" w:eastAsia="Arial" w:hAnsi="Arial"/>
                <w:sz w:val="17"/>
                <w:szCs w:val="17"/>
                <w:color w:val="auto"/>
              </w:rPr>
              <w:t>Attrition rate</w:t>
            </w:r>
          </w:p>
        </w:tc>
        <w:tc>
          <w:tcPr>
            <w:tcW w:w="2400" w:type="dxa"/>
            <w:vAlign w:val="bottom"/>
          </w:tcPr>
          <w:p>
            <w:pPr>
              <w:jc w:val="center"/>
              <w:spacing w:after="0"/>
              <w:rPr>
                <w:sz w:val="20"/>
                <w:szCs w:val="20"/>
                <w:color w:val="auto"/>
              </w:rPr>
            </w:pPr>
            <w:r>
              <w:rPr>
                <w:rFonts w:ascii="Arial" w:cs="Arial" w:eastAsia="Arial" w:hAnsi="Arial"/>
                <w:sz w:val="17"/>
                <w:szCs w:val="17"/>
                <w:color w:val="auto"/>
                <w:w w:val="93"/>
              </w:rPr>
              <w:t>10%</w:t>
            </w:r>
          </w:p>
        </w:tc>
      </w:tr>
      <w:tr>
        <w:trPr>
          <w:trHeight w:val="220"/>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2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19%</w:t>
            </w:r>
          </w:p>
        </w:tc>
      </w:tr>
      <w:tr>
        <w:trPr>
          <w:trHeight w:val="258"/>
        </w:trPr>
        <w:tc>
          <w:tcPr>
            <w:tcW w:w="722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Tradenames Value</w:t>
            </w:r>
          </w:p>
        </w:tc>
        <w:tc>
          <w:tcPr>
            <w:tcW w:w="2400" w:type="dxa"/>
            <w:vAlign w:val="bottom"/>
            <w:shd w:val="clear" w:color="auto" w:fill="CCEEFF"/>
          </w:tcPr>
          <w:p>
            <w:pPr>
              <w:spacing w:after="0"/>
              <w:rPr>
                <w:sz w:val="19"/>
                <w:szCs w:val="19"/>
                <w:color w:val="auto"/>
              </w:rPr>
            </w:pPr>
          </w:p>
        </w:tc>
      </w:tr>
      <w:tr>
        <w:trPr>
          <w:trHeight w:val="218"/>
        </w:trPr>
        <w:tc>
          <w:tcPr>
            <w:tcW w:w="7220" w:type="dxa"/>
            <w:vAlign w:val="bottom"/>
          </w:tcPr>
          <w:p>
            <w:pPr>
              <w:ind w:left="20"/>
              <w:spacing w:after="0"/>
              <w:rPr>
                <w:sz w:val="20"/>
                <w:szCs w:val="20"/>
                <w:color w:val="auto"/>
              </w:rPr>
            </w:pPr>
            <w:r>
              <w:rPr>
                <w:rFonts w:ascii="Arial" w:cs="Arial" w:eastAsia="Arial" w:hAnsi="Arial"/>
                <w:sz w:val="17"/>
                <w:szCs w:val="17"/>
                <w:color w:val="auto"/>
              </w:rPr>
              <w:t>Royalty rate</w:t>
            </w:r>
          </w:p>
        </w:tc>
        <w:tc>
          <w:tcPr>
            <w:tcW w:w="2400" w:type="dxa"/>
            <w:vAlign w:val="bottom"/>
          </w:tcPr>
          <w:p>
            <w:pPr>
              <w:jc w:val="center"/>
              <w:spacing w:after="0"/>
              <w:rPr>
                <w:sz w:val="20"/>
                <w:szCs w:val="20"/>
                <w:color w:val="auto"/>
              </w:rPr>
            </w:pPr>
            <w:r>
              <w:rPr>
                <w:rFonts w:ascii="Arial" w:cs="Arial" w:eastAsia="Arial" w:hAnsi="Arial"/>
                <w:sz w:val="17"/>
                <w:szCs w:val="17"/>
                <w:color w:val="auto"/>
                <w:w w:val="97"/>
              </w:rPr>
              <w:t>1%</w:t>
            </w:r>
          </w:p>
        </w:tc>
      </w:tr>
      <w:tr>
        <w:trPr>
          <w:trHeight w:val="220"/>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2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19%</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Correction of Error in Previously Reported Fiscal Year 2022 Annual Financial Statements</w:t>
      </w:r>
    </w:p>
    <w:p>
      <w:pPr>
        <w:spacing w:after="0" w:line="18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is restating its previously issued audited consolidated financial statements as of and for the year ended May 29, 2022 ("Prior Financial Statements") in the fiscal year 2022 Annual Report on Form 10-K originally filed with the Securities and Exchange Commission on September 14, 2022 (the “Original Report”). The Restatement results from the identification of errors related to certain non-cash impairment charges related to the Company’s Curation Foods business contained in the Original Report.</w:t>
      </w:r>
    </w:p>
    <w:p>
      <w:pPr>
        <w:spacing w:after="0" w:line="15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has assessed the materiality of these errors in accordance with the U.S. Securities and Exchange Commission Staff Accounting Bulletin No. 99 (“SAB”), Materiality and SAB No. 108, Quantifying Financial Statement Misstatements, and has concluded that the errors are material to the financial statements and therefore the Prior Financial Statements should be restated. The Restatement did not impact or require corrections to the financial information related to the Lifecore segment in the Prior Financial Statements.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40" w:type="dxa"/>
            <w:vAlign w:val="bottom"/>
            <w:gridSpan w:val="8"/>
          </w:tcPr>
          <w:p>
            <w:pPr>
              <w:ind w:left="620"/>
              <w:spacing w:after="0"/>
              <w:rPr>
                <w:sz w:val="20"/>
                <w:szCs w:val="20"/>
                <w:color w:val="auto"/>
              </w:rPr>
            </w:pPr>
            <w:r>
              <w:rPr>
                <w:rFonts w:ascii="Arial" w:cs="Arial" w:eastAsia="Arial" w:hAnsi="Arial"/>
                <w:sz w:val="17"/>
                <w:szCs w:val="17"/>
                <w:color w:val="auto"/>
                <w:w w:val="92"/>
              </w:rPr>
              <w:t>The effects of these errors on our previously reported consolidated balance sheet as presented in the Original Report are as follows: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5"/>
        </w:trPr>
        <w:tc>
          <w:tcPr>
            <w:tcW w:w="46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i w:val="1"/>
                <w:iCs w:val="1"/>
                <w:color w:val="auto"/>
                <w:w w:val="90"/>
              </w:rPr>
              <w:t>As reported</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i w:val="1"/>
                <w:iCs w:val="1"/>
                <w:color w:val="auto"/>
              </w:rPr>
              <w:t>As restated</w:t>
            </w:r>
          </w:p>
        </w:tc>
      </w:tr>
      <w:tr>
        <w:trPr>
          <w:trHeight w:val="213"/>
        </w:trPr>
        <w:tc>
          <w:tcPr>
            <w:tcW w:w="466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May 29, 2022</w:t>
            </w: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color w:val="auto"/>
              </w:rPr>
              <w:t>Adjustment</w:t>
            </w:r>
          </w:p>
        </w:tc>
        <w:tc>
          <w:tcPr>
            <w:tcW w:w="160" w:type="dxa"/>
            <w:vAlign w:val="bottom"/>
          </w:tcPr>
          <w:p>
            <w:pPr>
              <w:spacing w:after="0"/>
              <w:rPr>
                <w:sz w:val="18"/>
                <w:szCs w:val="18"/>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29, 2022</w:t>
            </w:r>
          </w:p>
        </w:tc>
      </w:tr>
      <w:tr>
        <w:trPr>
          <w:trHeight w:val="200"/>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8"/>
        </w:trPr>
        <w:tc>
          <w:tcPr>
            <w:tcW w:w="4660" w:type="dxa"/>
            <w:vAlign w:val="bottom"/>
          </w:tcPr>
          <w:p>
            <w:pPr>
              <w:ind w:left="120"/>
              <w:spacing w:after="0"/>
              <w:rPr>
                <w:sz w:val="20"/>
                <w:szCs w:val="20"/>
                <w:color w:val="auto"/>
              </w:rPr>
            </w:pPr>
            <w:r>
              <w:rPr>
                <w:rFonts w:ascii="Arial" w:cs="Arial" w:eastAsia="Arial" w:hAnsi="Arial"/>
                <w:sz w:val="17"/>
                <w:szCs w:val="17"/>
                <w:color w:val="auto"/>
              </w:rPr>
              <w:t>Property and equipment, net</w:t>
            </w:r>
          </w:p>
        </w:tc>
        <w:tc>
          <w:tcPr>
            <w:tcW w:w="2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130,435</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(11,904)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118,531</w:t>
            </w:r>
          </w:p>
        </w:tc>
      </w:tr>
      <w:tr>
        <w:trPr>
          <w:trHeight w:val="220"/>
        </w:trPr>
        <w:tc>
          <w:tcPr>
            <w:tcW w:w="4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Trademarks/tradenames, net</w:t>
            </w:r>
          </w:p>
        </w:tc>
        <w:tc>
          <w:tcPr>
            <w:tcW w:w="2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8,700</w:t>
            </w:r>
          </w:p>
        </w:tc>
      </w:tr>
      <w:tr>
        <w:trPr>
          <w:trHeight w:val="218"/>
        </w:trPr>
        <w:tc>
          <w:tcPr>
            <w:tcW w:w="4660" w:type="dxa"/>
            <w:vAlign w:val="bottom"/>
          </w:tcPr>
          <w:p>
            <w:pPr>
              <w:ind w:left="120"/>
              <w:spacing w:after="0"/>
              <w:rPr>
                <w:sz w:val="20"/>
                <w:szCs w:val="20"/>
                <w:color w:val="auto"/>
              </w:rPr>
            </w:pPr>
            <w:r>
              <w:rPr>
                <w:rFonts w:ascii="Arial" w:cs="Arial" w:eastAsia="Arial" w:hAnsi="Arial"/>
                <w:sz w:val="17"/>
                <w:szCs w:val="17"/>
                <w:color w:val="auto"/>
              </w:rPr>
              <w:t>Customer relationships, net</w:t>
            </w:r>
          </w:p>
        </w:tc>
        <w:tc>
          <w:tcPr>
            <w:tcW w:w="2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7,150</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(5,750)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1,400</w:t>
            </w:r>
          </w:p>
        </w:tc>
      </w:tr>
      <w:tr>
        <w:trPr>
          <w:trHeight w:val="220"/>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277,806</w:t>
            </w:r>
          </w:p>
        </w:tc>
      </w:tr>
      <w:tr>
        <w:trPr>
          <w:trHeight w:val="258"/>
        </w:trPr>
        <w:tc>
          <w:tcPr>
            <w:tcW w:w="46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9"/>
        </w:trPr>
        <w:tc>
          <w:tcPr>
            <w:tcW w:w="46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LIABILITIES AND STOCKHOLDERS’ EQUITY</w:t>
            </w: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4"/>
        </w:trPr>
        <w:tc>
          <w:tcPr>
            <w:tcW w:w="4660" w:type="dxa"/>
            <w:vAlign w:val="bottom"/>
          </w:tcPr>
          <w:p>
            <w:pPr>
              <w:ind w:left="120"/>
              <w:spacing w:after="0"/>
              <w:rPr>
                <w:sz w:val="20"/>
                <w:szCs w:val="20"/>
                <w:color w:val="auto"/>
              </w:rPr>
            </w:pPr>
            <w:r>
              <w:rPr>
                <w:rFonts w:ascii="Arial" w:cs="Arial" w:eastAsia="Arial" w:hAnsi="Arial"/>
                <w:sz w:val="17"/>
                <w:szCs w:val="17"/>
                <w:color w:val="auto"/>
              </w:rPr>
              <w:t>Deferred taxes, net</w:t>
            </w:r>
          </w:p>
        </w:tc>
        <w:tc>
          <w:tcPr>
            <w:tcW w:w="2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232</w:t>
            </w:r>
          </w:p>
        </w:tc>
        <w:tc>
          <w:tcPr>
            <w:tcW w:w="12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46"/>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187,215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187,109</w:t>
            </w:r>
          </w:p>
        </w:tc>
      </w:tr>
      <w:tr>
        <w:trPr>
          <w:trHeight w:val="244"/>
        </w:trPr>
        <w:tc>
          <w:tcPr>
            <w:tcW w:w="4660" w:type="dxa"/>
            <w:vAlign w:val="bottom"/>
          </w:tcPr>
          <w:p>
            <w:pPr>
              <w:ind w:left="120"/>
              <w:spacing w:after="0"/>
              <w:rPr>
                <w:sz w:val="20"/>
                <w:szCs w:val="20"/>
                <w:color w:val="auto"/>
              </w:rPr>
            </w:pPr>
            <w:r>
              <w:rPr>
                <w:rFonts w:ascii="Arial" w:cs="Arial" w:eastAsia="Arial" w:hAnsi="Arial"/>
                <w:sz w:val="17"/>
                <w:szCs w:val="17"/>
                <w:color w:val="auto"/>
              </w:rPr>
              <w:t>Retained earnings (accumulated deficit)</w:t>
            </w:r>
          </w:p>
        </w:tc>
        <w:tc>
          <w:tcPr>
            <w:tcW w:w="2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(58,851)</w:t>
            </w:r>
          </w:p>
        </w:tc>
        <w:tc>
          <w:tcPr>
            <w:tcW w:w="12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(17,248)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(76,099)</w:t>
            </w:r>
          </w:p>
        </w:tc>
      </w:tr>
      <w:tr>
        <w:trPr>
          <w:trHeight w:val="246"/>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2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107,945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90,697</w:t>
            </w:r>
          </w:p>
        </w:tc>
      </w:tr>
      <w:tr>
        <w:trPr>
          <w:trHeight w:val="243"/>
        </w:trPr>
        <w:tc>
          <w:tcPr>
            <w:tcW w:w="4660" w:type="dxa"/>
            <w:vAlign w:val="bottom"/>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295,160</w:t>
            </w:r>
          </w:p>
        </w:tc>
        <w:tc>
          <w:tcPr>
            <w:tcW w:w="12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(17,354)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277,806</w:t>
            </w:r>
          </w:p>
        </w:tc>
      </w:tr>
      <w:tr>
        <w:trPr>
          <w:trHeight w:val="864"/>
        </w:trPr>
        <w:tc>
          <w:tcPr>
            <w:tcW w:w="4660" w:type="dxa"/>
            <w:vAlign w:val="bottom"/>
          </w:tcPr>
          <w:p>
            <w:pPr>
              <w:spacing w:after="0"/>
              <w:rPr>
                <w:sz w:val="24"/>
                <w:szCs w:val="24"/>
                <w:color w:val="auto"/>
              </w:rPr>
            </w:pPr>
          </w:p>
        </w:tc>
        <w:tc>
          <w:tcPr>
            <w:tcW w:w="2160" w:type="dxa"/>
            <w:vAlign w:val="bottom"/>
          </w:tcPr>
          <w:p>
            <w:pPr>
              <w:jc w:val="right"/>
              <w:ind w:right="1034"/>
              <w:spacing w:after="0"/>
              <w:rPr>
                <w:sz w:val="20"/>
                <w:szCs w:val="20"/>
                <w:color w:val="auto"/>
              </w:rPr>
            </w:pPr>
            <w:r>
              <w:rPr>
                <w:rFonts w:ascii="Arial" w:cs="Arial" w:eastAsia="Arial" w:hAnsi="Arial"/>
                <w:sz w:val="17"/>
                <w:szCs w:val="17"/>
                <w:color w:val="auto"/>
              </w:rPr>
              <w:t>64</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0"/>
        </w:trPr>
        <w:tc>
          <w:tcPr>
            <w:tcW w:w="466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9" w:name="page70"/>
    <w:bookmarkEnd w:id="69"/>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effects of this error on our previously reported consolidated statement of operations and statement of comprehensive (loss) income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May 29, 2022 as reported in the Original Report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Year Ended</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7"/>
                <w:szCs w:val="17"/>
                <w:i w:val="1"/>
                <w:iCs w:val="1"/>
                <w:color w:val="auto"/>
              </w:rPr>
              <w:t>As reported</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i w:val="1"/>
                <w:iCs w:val="1"/>
                <w:color w:val="auto"/>
              </w:rPr>
              <w:t>As restated</w:t>
            </w:r>
          </w:p>
        </w:tc>
        <w:tc>
          <w:tcPr>
            <w:tcW w:w="0" w:type="dxa"/>
            <w:vAlign w:val="bottom"/>
          </w:tcPr>
          <w:p>
            <w:pPr>
              <w:spacing w:after="0"/>
              <w:rPr>
                <w:sz w:val="1"/>
                <w:szCs w:val="1"/>
                <w:color w:val="auto"/>
              </w:rPr>
            </w:pPr>
          </w:p>
        </w:tc>
      </w:tr>
      <w:tr>
        <w:trPr>
          <w:trHeight w:val="211"/>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 except per share amounts)</w:t>
            </w:r>
          </w:p>
        </w:tc>
        <w:tc>
          <w:tcPr>
            <w:tcW w:w="1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7"/>
              </w:rPr>
              <w:t>May 29, 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Adjustment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7"/>
              </w:rPr>
              <w:t>May 29, 2022</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sales</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185,786</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product sales</w:t>
            </w:r>
          </w:p>
        </w:tc>
        <w:tc>
          <w:tcPr>
            <w:tcW w:w="1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135,416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135,416</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50,370</w:t>
            </w:r>
          </w:p>
        </w:tc>
        <w:tc>
          <w:tcPr>
            <w:tcW w:w="0" w:type="dxa"/>
            <w:vAlign w:val="bottom"/>
          </w:tcPr>
          <w:p>
            <w:pPr>
              <w:spacing w:after="0"/>
              <w:rPr>
                <w:sz w:val="1"/>
                <w:szCs w:val="1"/>
                <w:color w:val="auto"/>
              </w:rPr>
            </w:pPr>
          </w:p>
        </w:tc>
      </w:tr>
      <w:tr>
        <w:trPr>
          <w:trHeight w:val="218"/>
        </w:trPr>
        <w:tc>
          <w:tcPr>
            <w:tcW w:w="5100" w:type="dxa"/>
            <w:vAlign w:val="bottom"/>
          </w:tcPr>
          <w:p>
            <w:pPr>
              <w:ind w:left="20"/>
              <w:spacing w:after="0"/>
              <w:rPr>
                <w:sz w:val="20"/>
                <w:szCs w:val="20"/>
                <w:color w:val="auto"/>
              </w:rPr>
            </w:pPr>
            <w:r>
              <w:rPr>
                <w:rFonts w:ascii="Arial" w:cs="Arial" w:eastAsia="Arial" w:hAnsi="Arial"/>
                <w:sz w:val="17"/>
                <w:szCs w:val="17"/>
                <w:color w:val="auto"/>
              </w:rPr>
              <w:t>Operating costs and expenses: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w:t>
            </w: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7,841</w:t>
            </w:r>
          </w:p>
        </w:tc>
        <w:tc>
          <w:tcPr>
            <w:tcW w:w="0" w:type="dxa"/>
            <w:vAlign w:val="bottom"/>
          </w:tcPr>
          <w:p>
            <w:pPr>
              <w:spacing w:after="0"/>
              <w:rPr>
                <w:sz w:val="1"/>
                <w:szCs w:val="1"/>
                <w:color w:val="auto"/>
              </w:rPr>
            </w:pPr>
          </w:p>
        </w:tc>
      </w:tr>
      <w:tr>
        <w:trPr>
          <w:trHeight w:val="218"/>
        </w:trPr>
        <w:tc>
          <w:tcPr>
            <w:tcW w:w="5100" w:type="dxa"/>
            <w:vAlign w:val="bottom"/>
          </w:tcPr>
          <w:p>
            <w:pPr>
              <w:ind w:left="140"/>
              <w:spacing w:after="0"/>
              <w:rPr>
                <w:sz w:val="20"/>
                <w:szCs w:val="20"/>
                <w:color w:val="auto"/>
              </w:rPr>
            </w:pPr>
            <w:r>
              <w:rPr>
                <w:rFonts w:ascii="Arial" w:cs="Arial" w:eastAsia="Arial" w:hAnsi="Arial"/>
                <w:sz w:val="17"/>
                <w:szCs w:val="17"/>
                <w:color w:val="auto"/>
              </w:rPr>
              <w:t>Selling, general and administrative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46,127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46,127</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Impairment of goodwill and long-lived and indefinite-lived assets</w:t>
            </w: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46,089</w:t>
            </w:r>
          </w:p>
        </w:tc>
        <w:tc>
          <w:tcPr>
            <w:tcW w:w="0" w:type="dxa"/>
            <w:vAlign w:val="bottom"/>
          </w:tcPr>
          <w:p>
            <w:pPr>
              <w:spacing w:after="0"/>
              <w:rPr>
                <w:sz w:val="1"/>
                <w:szCs w:val="1"/>
                <w:color w:val="auto"/>
              </w:rPr>
            </w:pPr>
          </w:p>
        </w:tc>
      </w:tr>
      <w:tr>
        <w:trPr>
          <w:trHeight w:val="218"/>
        </w:trPr>
        <w:tc>
          <w:tcPr>
            <w:tcW w:w="5100" w:type="dxa"/>
            <w:vAlign w:val="bottom"/>
          </w:tcPr>
          <w:p>
            <w:pPr>
              <w:ind w:left="140"/>
              <w:spacing w:after="0"/>
              <w:rPr>
                <w:sz w:val="20"/>
                <w:szCs w:val="20"/>
                <w:color w:val="auto"/>
              </w:rPr>
            </w:pPr>
            <w:r>
              <w:rPr>
                <w:rFonts w:ascii="Arial" w:cs="Arial" w:eastAsia="Arial" w:hAnsi="Arial"/>
                <w:sz w:val="17"/>
                <w:szCs w:val="17"/>
                <w:color w:val="auto"/>
              </w:rPr>
              <w:t>Restructuring costs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8,961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8,961</w:t>
            </w:r>
          </w:p>
        </w:tc>
        <w:tc>
          <w:tcPr>
            <w:tcW w:w="0" w:type="dxa"/>
            <w:vAlign w:val="bottom"/>
          </w:tcPr>
          <w:p>
            <w:pPr>
              <w:spacing w:after="0"/>
              <w:rPr>
                <w:sz w:val="1"/>
                <w:szCs w:val="1"/>
                <w:color w:val="auto"/>
              </w:rPr>
            </w:pPr>
          </w:p>
        </w:tc>
      </w:tr>
      <w:tr>
        <w:trPr>
          <w:trHeight w:val="21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costs and expenses</w:t>
            </w:r>
          </w:p>
        </w:tc>
        <w:tc>
          <w:tcPr>
            <w:tcW w:w="1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91,664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17,354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109,018</w:t>
            </w:r>
          </w:p>
        </w:tc>
        <w:tc>
          <w:tcPr>
            <w:tcW w:w="0" w:type="dxa"/>
            <w:vAlign w:val="bottom"/>
          </w:tcPr>
          <w:p>
            <w:pPr>
              <w:spacing w:after="0"/>
              <w:rPr>
                <w:sz w:val="1"/>
                <w:szCs w:val="1"/>
                <w:color w:val="auto"/>
              </w:rPr>
            </w:pPr>
          </w:p>
        </w:tc>
      </w:tr>
      <w:tr>
        <w:trPr>
          <w:trHeight w:val="211"/>
        </w:trPr>
        <w:tc>
          <w:tcPr>
            <w:tcW w:w="510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(41,294)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(17,354)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(58,648)</w:t>
            </w:r>
          </w:p>
        </w:tc>
        <w:tc>
          <w:tcPr>
            <w:tcW w:w="0" w:type="dxa"/>
            <w:vAlign w:val="bottom"/>
          </w:tcPr>
          <w:p>
            <w:pPr>
              <w:spacing w:after="0"/>
              <w:rPr>
                <w:sz w:val="1"/>
                <w:szCs w:val="1"/>
                <w:color w:val="auto"/>
              </w:rPr>
            </w:pPr>
          </w:p>
        </w:tc>
      </w:tr>
      <w:tr>
        <w:trPr>
          <w:trHeight w:val="259"/>
        </w:trPr>
        <w:tc>
          <w:tcPr>
            <w:tcW w:w="510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(17,357)</w:t>
            </w:r>
          </w:p>
        </w:tc>
        <w:tc>
          <w:tcPr>
            <w:tcW w:w="0" w:type="dxa"/>
            <w:vAlign w:val="bottom"/>
          </w:tcPr>
          <w:p>
            <w:pPr>
              <w:spacing w:after="0"/>
              <w:rPr>
                <w:sz w:val="1"/>
                <w:szCs w:val="1"/>
                <w:color w:val="auto"/>
              </w:rPr>
            </w:pPr>
          </w:p>
        </w:tc>
      </w:tr>
      <w:tr>
        <w:trPr>
          <w:trHeight w:val="218"/>
        </w:trPr>
        <w:tc>
          <w:tcPr>
            <w:tcW w:w="5100" w:type="dxa"/>
            <w:vAlign w:val="bottom"/>
          </w:tcPr>
          <w:p>
            <w:pPr>
              <w:ind w:left="20"/>
              <w:spacing w:after="0"/>
              <w:rPr>
                <w:sz w:val="20"/>
                <w:szCs w:val="20"/>
                <w:color w:val="auto"/>
              </w:rPr>
            </w:pPr>
            <w:r>
              <w:rPr>
                <w:rFonts w:ascii="Arial" w:cs="Arial" w:eastAsia="Arial" w:hAnsi="Arial"/>
                <w:sz w:val="17"/>
                <w:szCs w:val="17"/>
                <w:color w:val="auto"/>
              </w:rPr>
              <w:t>Transition services income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5,814</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11"/>
        </w:trPr>
        <w:tc>
          <w:tcPr>
            <w:tcW w:w="5100" w:type="dxa"/>
            <w:vAlign w:val="bottom"/>
          </w:tcPr>
          <w:p>
            <w:pPr>
              <w:ind w:left="20"/>
              <w:spacing w:after="0"/>
              <w:rPr>
                <w:sz w:val="20"/>
                <w:szCs w:val="20"/>
                <w:color w:val="auto"/>
              </w:rPr>
            </w:pPr>
            <w:r>
              <w:rPr>
                <w:rFonts w:ascii="Arial" w:cs="Arial" w:eastAsia="Arial" w:hAnsi="Arial"/>
                <w:sz w:val="17"/>
                <w:szCs w:val="17"/>
                <w:color w:val="auto"/>
              </w:rPr>
              <w:t>Net loss from continuing operations before taxes</w:t>
            </w:r>
          </w:p>
        </w:tc>
        <w:tc>
          <w:tcPr>
            <w:tcW w:w="1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(52,115)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(17,354)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(69,469)</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1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5,945</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7"/>
                <w:szCs w:val="17"/>
                <w:color w:val="auto"/>
              </w:rPr>
              <w:t>Net loss from continuing operations</w:t>
            </w:r>
          </w:p>
        </w:tc>
        <w:tc>
          <w:tcPr>
            <w:tcW w:w="1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(46,276)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(17,248)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(63,524)</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20"/>
              <w:spacing w:after="0"/>
              <w:rPr>
                <w:sz w:val="20"/>
                <w:szCs w:val="20"/>
                <w:color w:val="auto"/>
              </w:rPr>
            </w:pPr>
            <w:r>
              <w:rPr>
                <w:rFonts w:ascii="Arial" w:cs="Arial" w:eastAsia="Arial" w:hAnsi="Arial"/>
                <w:sz w:val="17"/>
                <w:szCs w:val="17"/>
                <w:color w:val="auto"/>
              </w:rPr>
              <w:t>Discontinued operations: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from discontinued operations</w:t>
            </w: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(51,276)</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Income tax benefit</w:t>
            </w:r>
          </w:p>
        </w:tc>
        <w:tc>
          <w:tcPr>
            <w:tcW w:w="1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1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(51,155)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(51,155)</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7"/>
                <w:szCs w:val="17"/>
                <w:color w:val="auto"/>
              </w:rPr>
              <w:t>Net loss</w:t>
            </w:r>
          </w:p>
        </w:tc>
        <w:tc>
          <w:tcPr>
            <w:tcW w:w="18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(97,431)</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(17,248)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(114,679)</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20"/>
              <w:spacing w:after="0"/>
              <w:rPr>
                <w:sz w:val="20"/>
                <w:szCs w:val="20"/>
                <w:color w:val="auto"/>
              </w:rPr>
            </w:pPr>
            <w:r>
              <w:rPr>
                <w:rFonts w:ascii="Arial" w:cs="Arial" w:eastAsia="Arial" w:hAnsi="Arial"/>
                <w:sz w:val="17"/>
                <w:szCs w:val="17"/>
                <w:color w:val="auto"/>
              </w:rPr>
              <w:t>Basic net loss per share: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from continuing operations</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Loss from discontinued operations</w:t>
            </w:r>
          </w:p>
        </w:tc>
        <w:tc>
          <w:tcPr>
            <w:tcW w:w="1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33"/>
        </w:trPr>
        <w:tc>
          <w:tcPr>
            <w:tcW w:w="5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basic net loss per share</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loss per share:</w:t>
            </w: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140"/>
              <w:spacing w:after="0"/>
              <w:rPr>
                <w:sz w:val="20"/>
                <w:szCs w:val="20"/>
                <w:color w:val="auto"/>
              </w:rPr>
            </w:pPr>
            <w:r>
              <w:rPr>
                <w:rFonts w:ascii="Arial" w:cs="Arial" w:eastAsia="Arial" w:hAnsi="Arial"/>
                <w:sz w:val="17"/>
                <w:szCs w:val="17"/>
                <w:color w:val="auto"/>
              </w:rPr>
              <w:t>Loss from continuing operations</w:t>
            </w:r>
          </w:p>
        </w:tc>
        <w:tc>
          <w:tcPr>
            <w:tcW w:w="18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(1.57)</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(0.59)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from discontinued operations</w:t>
            </w:r>
          </w:p>
        </w:tc>
        <w:tc>
          <w:tcPr>
            <w:tcW w:w="1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186"/>
        </w:trPr>
        <w:tc>
          <w:tcPr>
            <w:tcW w:w="5100" w:type="dxa"/>
            <w:vAlign w:val="bottom"/>
          </w:tcPr>
          <w:p>
            <w:pPr>
              <w:ind w:left="320"/>
              <w:spacing w:after="0" w:line="186" w:lineRule="exact"/>
              <w:rPr>
                <w:sz w:val="20"/>
                <w:szCs w:val="20"/>
                <w:color w:val="auto"/>
              </w:rPr>
            </w:pPr>
            <w:r>
              <w:rPr>
                <w:rFonts w:ascii="Arial" w:cs="Arial" w:eastAsia="Arial" w:hAnsi="Arial"/>
                <w:sz w:val="17"/>
                <w:szCs w:val="17"/>
                <w:color w:val="auto"/>
              </w:rPr>
              <w:t>Total diluted net loss per share</w:t>
            </w:r>
          </w:p>
        </w:tc>
        <w:tc>
          <w:tcPr>
            <w:tcW w:w="1880" w:type="dxa"/>
            <w:vAlign w:val="bottom"/>
            <w:gridSpan w:val="2"/>
          </w:tcPr>
          <w:p>
            <w:pPr>
              <w:jc w:val="right"/>
              <w:ind w:right="60"/>
              <w:spacing w:after="0" w:line="186"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(3.31)</w:t>
            </w:r>
          </w:p>
        </w:tc>
        <w:tc>
          <w:tcPr>
            <w:tcW w:w="120" w:type="dxa"/>
            <w:vAlign w:val="bottom"/>
          </w:tcPr>
          <w:p>
            <w:pPr>
              <w:spacing w:after="0"/>
              <w:rPr>
                <w:sz w:val="16"/>
                <w:szCs w:val="16"/>
                <w:color w:val="auto"/>
              </w:rPr>
            </w:pPr>
          </w:p>
        </w:tc>
        <w:tc>
          <w:tcPr>
            <w:tcW w:w="200" w:type="dxa"/>
            <w:vAlign w:val="bottom"/>
          </w:tcPr>
          <w:p>
            <w:pPr>
              <w:jc w:val="right"/>
              <w:ind w:right="14"/>
              <w:spacing w:after="0" w:line="186" w:lineRule="exact"/>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line="186" w:lineRule="exact"/>
              <w:rPr>
                <w:sz w:val="20"/>
                <w:szCs w:val="20"/>
                <w:color w:val="auto"/>
              </w:rPr>
            </w:pPr>
            <w:r>
              <w:rPr>
                <w:rFonts w:ascii="Arial" w:cs="Arial" w:eastAsia="Arial" w:hAnsi="Arial"/>
                <w:sz w:val="17"/>
                <w:szCs w:val="17"/>
                <w:color w:val="auto"/>
              </w:rPr>
              <w:t>(0.59)</w:t>
            </w:r>
          </w:p>
        </w:tc>
        <w:tc>
          <w:tcPr>
            <w:tcW w:w="100" w:type="dxa"/>
            <w:vAlign w:val="bottom"/>
          </w:tcPr>
          <w:p>
            <w:pPr>
              <w:spacing w:after="0"/>
              <w:rPr>
                <w:sz w:val="16"/>
                <w:szCs w:val="16"/>
                <w:color w:val="auto"/>
              </w:rPr>
            </w:pPr>
          </w:p>
        </w:tc>
        <w:tc>
          <w:tcPr>
            <w:tcW w:w="160" w:type="dxa"/>
            <w:vAlign w:val="bottom"/>
          </w:tcPr>
          <w:p>
            <w:pPr>
              <w:jc w:val="right"/>
              <w:spacing w:after="0" w:line="186" w:lineRule="exact"/>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00" w:type="dxa"/>
            <w:vAlign w:val="bottom"/>
          </w:tcPr>
          <w:p>
            <w:pPr>
              <w:ind w:left="20"/>
              <w:spacing w:after="0"/>
              <w:rPr>
                <w:sz w:val="20"/>
                <w:szCs w:val="20"/>
                <w:color w:val="auto"/>
              </w:rPr>
            </w:pPr>
            <w:r>
              <w:rPr>
                <w:rFonts w:ascii="Arial" w:cs="Arial" w:eastAsia="Arial" w:hAnsi="Arial"/>
                <w:sz w:val="17"/>
                <w:szCs w:val="17"/>
                <w:color w:val="auto"/>
              </w:rPr>
              <w:t>Total comprehensive loss</w:t>
            </w:r>
          </w:p>
        </w:tc>
        <w:tc>
          <w:tcPr>
            <w:tcW w:w="18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(96,659)</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(17,248)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(113,907)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720" w:type="dxa"/>
            <w:vAlign w:val="bottom"/>
            <w:vMerge w:val="restart"/>
          </w:tcPr>
          <w:p>
            <w:pPr>
              <w:jc w:val="right"/>
              <w:ind w:right="1034"/>
              <w:spacing w:after="0"/>
              <w:rPr>
                <w:sz w:val="20"/>
                <w:szCs w:val="20"/>
                <w:color w:val="auto"/>
              </w:rPr>
            </w:pPr>
            <w:r>
              <w:rPr>
                <w:rFonts w:ascii="Arial" w:cs="Arial" w:eastAsia="Arial" w:hAnsi="Arial"/>
                <w:sz w:val="17"/>
                <w:szCs w:val="17"/>
                <w:color w:val="auto"/>
              </w:rPr>
              <w:t>65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51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0" w:name="page71"/>
    <w:bookmarkEnd w:id="70"/>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firstLine="619"/>
        <w:spacing w:after="0" w:line="264" w:lineRule="auto"/>
        <w:rPr>
          <w:sz w:val="20"/>
          <w:szCs w:val="20"/>
          <w:color w:val="auto"/>
        </w:rPr>
      </w:pPr>
      <w:r>
        <w:rPr>
          <w:rFonts w:ascii="Arial" w:cs="Arial" w:eastAsia="Arial" w:hAnsi="Arial"/>
          <w:sz w:val="17"/>
          <w:szCs w:val="17"/>
          <w:color w:val="auto"/>
        </w:rPr>
        <w:t>The effects of this error on our previously reported consolidated statement of changes in stockholders’ equity for the year ended May 29, 2022 as reported in the Original Report are as follows:</w:t>
      </w:r>
    </w:p>
    <w:p>
      <w:pPr>
        <w:spacing w:after="0" w:line="240" w:lineRule="exact"/>
        <w:rPr>
          <w:sz w:val="20"/>
          <w:szCs w:val="20"/>
          <w:color w:val="auto"/>
        </w:rPr>
      </w:pPr>
    </w:p>
    <w:tbl>
      <w:tblPr>
        <w:tblLayout w:type="fixed"/>
        <w:tblInd w:w="620" w:type="dxa"/>
        <w:tblCellMar>
          <w:top w:w="0" w:type="dxa"/>
          <w:left w:w="0" w:type="dxa"/>
          <w:bottom w:w="0" w:type="dxa"/>
          <w:right w:w="0" w:type="dxa"/>
        </w:tblCellMar>
      </w:tblPr>
      <w:tr>
        <w:trPr>
          <w:trHeight w:val="218"/>
        </w:trPr>
        <w:tc>
          <w:tcPr>
            <w:tcW w:w="3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i w:val="1"/>
                <w:iCs w:val="1"/>
                <w:color w:val="auto"/>
                <w:w w:val="90"/>
              </w:rPr>
              <w:t>As reported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i w:val="1"/>
                <w:iCs w:val="1"/>
                <w:color w:val="auto"/>
                <w:w w:val="90"/>
              </w:rPr>
              <w:t>As reported</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7"/>
                <w:szCs w:val="17"/>
                <w:i w:val="1"/>
                <w:iCs w:val="1"/>
                <w:color w:val="auto"/>
              </w:rPr>
              <w:t>Adjustment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i w:val="1"/>
                <w:iCs w:val="1"/>
                <w:color w:val="auto"/>
                <w:w w:val="88"/>
              </w:rPr>
              <w:t>As restated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i w:val="1"/>
                <w:iCs w:val="1"/>
                <w:color w:val="auto"/>
                <w:w w:val="88"/>
              </w:rPr>
              <w:t>As restated</w:t>
            </w:r>
          </w:p>
        </w:tc>
        <w:tc>
          <w:tcPr>
            <w:tcW w:w="0" w:type="dxa"/>
            <w:vAlign w:val="bottom"/>
          </w:tcPr>
          <w:p>
            <w:pPr>
              <w:spacing w:after="0"/>
              <w:rPr>
                <w:sz w:val="1"/>
                <w:szCs w:val="1"/>
                <w:color w:val="auto"/>
              </w:rPr>
            </w:pPr>
          </w:p>
        </w:tc>
      </w:tr>
      <w:tr>
        <w:trPr>
          <w:trHeight w:val="27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Retained</w:t>
            </w:r>
          </w:p>
        </w:tc>
        <w:tc>
          <w:tcPr>
            <w:tcW w:w="140" w:type="dxa"/>
            <w:vAlign w:val="bottom"/>
          </w:tcPr>
          <w:p>
            <w:pPr>
              <w:spacing w:after="0"/>
              <w:rPr>
                <w:sz w:val="24"/>
                <w:szCs w:val="2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auto"/>
                <w:w w:val="89"/>
              </w:rPr>
              <w:t>Total</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Retained</w:t>
            </w:r>
          </w:p>
        </w:tc>
        <w:tc>
          <w:tcPr>
            <w:tcW w:w="140" w:type="dxa"/>
            <w:vAlign w:val="bottom"/>
          </w:tcPr>
          <w:p>
            <w:pPr>
              <w:spacing w:after="0"/>
              <w:rPr>
                <w:sz w:val="24"/>
                <w:szCs w:val="24"/>
                <w:color w:val="auto"/>
              </w:rPr>
            </w:pPr>
          </w:p>
        </w:tc>
        <w:tc>
          <w:tcPr>
            <w:tcW w:w="1200" w:type="dxa"/>
            <w:vAlign w:val="bottom"/>
            <w:vMerge w:val="restart"/>
          </w:tcPr>
          <w:p>
            <w:pPr>
              <w:jc w:val="center"/>
              <w:ind w:right="54"/>
              <w:spacing w:after="0"/>
              <w:rPr>
                <w:sz w:val="20"/>
                <w:szCs w:val="20"/>
                <w:color w:val="auto"/>
              </w:rPr>
            </w:pPr>
            <w:r>
              <w:rPr>
                <w:rFonts w:ascii="Arial" w:cs="Arial" w:eastAsia="Arial" w:hAnsi="Arial"/>
                <w:sz w:val="17"/>
                <w:szCs w:val="17"/>
                <w:color w:val="auto"/>
                <w:w w:val="89"/>
              </w:rPr>
              <w:t>Total</w:t>
            </w:r>
          </w:p>
        </w:tc>
        <w:tc>
          <w:tcPr>
            <w:tcW w:w="0" w:type="dxa"/>
            <w:vAlign w:val="bottom"/>
          </w:tcPr>
          <w:p>
            <w:pPr>
              <w:spacing w:after="0"/>
              <w:rPr>
                <w:sz w:val="1"/>
                <w:szCs w:val="1"/>
                <w:color w:val="auto"/>
              </w:rPr>
            </w:pPr>
          </w:p>
        </w:tc>
      </w:tr>
      <w:tr>
        <w:trPr>
          <w:trHeight w:val="168"/>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7" w:lineRule="exact"/>
              <w:rPr>
                <w:sz w:val="20"/>
                <w:szCs w:val="20"/>
                <w:color w:val="auto"/>
              </w:rPr>
            </w:pPr>
            <w:r>
              <w:rPr>
                <w:rFonts w:ascii="Arial" w:cs="Arial" w:eastAsia="Arial" w:hAnsi="Arial"/>
                <w:sz w:val="17"/>
                <w:szCs w:val="17"/>
                <w:color w:val="auto"/>
                <w:w w:val="92"/>
              </w:rPr>
              <w:t>Earnings</w:t>
            </w: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7" w:lineRule="exact"/>
              <w:rPr>
                <w:sz w:val="20"/>
                <w:szCs w:val="20"/>
                <w:color w:val="auto"/>
              </w:rPr>
            </w:pPr>
            <w:r>
              <w:rPr>
                <w:rFonts w:ascii="Arial" w:cs="Arial" w:eastAsia="Arial" w:hAnsi="Arial"/>
                <w:sz w:val="17"/>
                <w:szCs w:val="17"/>
                <w:color w:val="auto"/>
                <w:w w:val="89"/>
              </w:rPr>
              <w:t>Earnings</w:t>
            </w:r>
          </w:p>
        </w:tc>
        <w:tc>
          <w:tcPr>
            <w:tcW w:w="1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6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7" w:lineRule="exact"/>
              <w:rPr>
                <w:sz w:val="20"/>
                <w:szCs w:val="20"/>
                <w:color w:val="auto"/>
              </w:rPr>
            </w:pPr>
            <w:r>
              <w:rPr>
                <w:rFonts w:ascii="Arial" w:cs="Arial" w:eastAsia="Arial" w:hAnsi="Arial"/>
                <w:sz w:val="17"/>
                <w:szCs w:val="17"/>
                <w:color w:val="auto"/>
                <w:w w:val="94"/>
              </w:rPr>
              <w:t>(Accumulated</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7" w:lineRule="exact"/>
              <w:rPr>
                <w:sz w:val="20"/>
                <w:szCs w:val="20"/>
                <w:color w:val="auto"/>
              </w:rPr>
            </w:pPr>
            <w:r>
              <w:rPr>
                <w:rFonts w:ascii="Arial" w:cs="Arial" w:eastAsia="Arial" w:hAnsi="Arial"/>
                <w:sz w:val="17"/>
                <w:szCs w:val="17"/>
                <w:color w:val="auto"/>
                <w:w w:val="92"/>
              </w:rPr>
              <w:t>Stockholders’</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7" w:lineRule="exact"/>
              <w:rPr>
                <w:sz w:val="20"/>
                <w:szCs w:val="20"/>
                <w:color w:val="auto"/>
              </w:rPr>
            </w:pPr>
            <w:r>
              <w:rPr>
                <w:rFonts w:ascii="Arial" w:cs="Arial" w:eastAsia="Arial" w:hAnsi="Arial"/>
                <w:sz w:val="17"/>
                <w:szCs w:val="17"/>
                <w:color w:val="auto"/>
                <w:w w:val="94"/>
              </w:rPr>
              <w:t>(Accumulated</w:t>
            </w:r>
          </w:p>
        </w:tc>
        <w:tc>
          <w:tcPr>
            <w:tcW w:w="140" w:type="dxa"/>
            <w:vAlign w:val="bottom"/>
          </w:tcPr>
          <w:p>
            <w:pPr>
              <w:spacing w:after="0"/>
              <w:rPr>
                <w:sz w:val="14"/>
                <w:szCs w:val="14"/>
                <w:color w:val="auto"/>
              </w:rPr>
            </w:pPr>
          </w:p>
        </w:tc>
        <w:tc>
          <w:tcPr>
            <w:tcW w:w="1200" w:type="dxa"/>
            <w:vAlign w:val="bottom"/>
          </w:tcPr>
          <w:p>
            <w:pPr>
              <w:jc w:val="center"/>
              <w:ind w:right="54"/>
              <w:spacing w:after="0" w:line="167" w:lineRule="exact"/>
              <w:rPr>
                <w:sz w:val="20"/>
                <w:szCs w:val="20"/>
                <w:color w:val="auto"/>
              </w:rPr>
            </w:pPr>
            <w:r>
              <w:rPr>
                <w:rFonts w:ascii="Arial" w:cs="Arial" w:eastAsia="Arial" w:hAnsi="Arial"/>
                <w:sz w:val="17"/>
                <w:szCs w:val="17"/>
                <w:color w:val="auto"/>
                <w:w w:val="92"/>
              </w:rPr>
              <w:t>Stockholders’</w:t>
            </w:r>
          </w:p>
        </w:tc>
        <w:tc>
          <w:tcPr>
            <w:tcW w:w="0" w:type="dxa"/>
            <w:vAlign w:val="bottom"/>
          </w:tcPr>
          <w:p>
            <w:pPr>
              <w:spacing w:after="0"/>
              <w:rPr>
                <w:sz w:val="1"/>
                <w:szCs w:val="1"/>
                <w:color w:val="auto"/>
              </w:rPr>
            </w:pPr>
          </w:p>
        </w:tc>
      </w:tr>
      <w:tr>
        <w:trPr>
          <w:trHeight w:val="218"/>
        </w:trPr>
        <w:tc>
          <w:tcPr>
            <w:tcW w:w="366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rPr>
              <w:t>Deficit)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color w:val="auto"/>
                <w:w w:val="97"/>
              </w:rPr>
              <w:t>Equity</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color w:val="auto"/>
              </w:rPr>
              <w:t>Deficit)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color w:val="auto"/>
                <w:w w:val="97"/>
              </w:rPr>
              <w:t>Equity</w:t>
            </w: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May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202,784</w:t>
            </w:r>
          </w:p>
        </w:tc>
        <w:tc>
          <w:tcPr>
            <w:tcW w:w="0" w:type="dxa"/>
            <w:vAlign w:val="bottom"/>
          </w:tcPr>
          <w:p>
            <w:pPr>
              <w:spacing w:after="0"/>
              <w:rPr>
                <w:sz w:val="1"/>
                <w:szCs w:val="1"/>
                <w:color w:val="auto"/>
              </w:rPr>
            </w:pPr>
          </w:p>
        </w:tc>
      </w:tr>
      <w:tr>
        <w:trPr>
          <w:trHeight w:val="161"/>
        </w:trPr>
        <w:tc>
          <w:tcPr>
            <w:tcW w:w="3660" w:type="dxa"/>
            <w:vAlign w:val="bottom"/>
          </w:tcPr>
          <w:p>
            <w:pPr>
              <w:ind w:left="20"/>
              <w:spacing w:after="0" w:line="161" w:lineRule="exact"/>
              <w:rPr>
                <w:sz w:val="20"/>
                <w:szCs w:val="20"/>
                <w:color w:val="auto"/>
              </w:rPr>
            </w:pPr>
            <w:r>
              <w:rPr>
                <w:rFonts w:ascii="Arial" w:cs="Arial" w:eastAsia="Arial" w:hAnsi="Arial"/>
                <w:sz w:val="17"/>
                <w:szCs w:val="17"/>
                <w:color w:val="auto"/>
                <w:w w:val="96"/>
              </w:rPr>
              <w:t>Issuance of stock under stock plans, net of shares</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660" w:type="dxa"/>
            <w:vAlign w:val="bottom"/>
          </w:tcPr>
          <w:p>
            <w:pPr>
              <w:ind w:left="20"/>
              <w:spacing w:after="0"/>
              <w:rPr>
                <w:sz w:val="20"/>
                <w:szCs w:val="20"/>
                <w:color w:val="auto"/>
              </w:rPr>
            </w:pPr>
            <w:r>
              <w:rPr>
                <w:rFonts w:ascii="Arial" w:cs="Arial" w:eastAsia="Arial" w:hAnsi="Arial"/>
                <w:sz w:val="17"/>
                <w:szCs w:val="17"/>
                <w:color w:val="auto"/>
              </w:rPr>
              <w:t>withheld</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Taxes paid by Company for employee stock plans</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0" w:type="dxa"/>
            <w:vAlign w:val="bottom"/>
          </w:tcPr>
          <w:p>
            <w:pPr>
              <w:spacing w:after="0"/>
              <w:rPr>
                <w:sz w:val="1"/>
                <w:szCs w:val="1"/>
                <w:color w:val="auto"/>
              </w:rPr>
            </w:pPr>
          </w:p>
        </w:tc>
      </w:tr>
      <w:tr>
        <w:trPr>
          <w:trHeight w:val="218"/>
        </w:trPr>
        <w:tc>
          <w:tcPr>
            <w:tcW w:w="366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2,608</w:t>
            </w: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1"/>
              </w:rPr>
              <w:t>(17,248)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(114,679)</w:t>
            </w:r>
          </w:p>
        </w:tc>
        <w:tc>
          <w:tcPr>
            <w:tcW w:w="0" w:type="dxa"/>
            <w:vAlign w:val="bottom"/>
          </w:tcPr>
          <w:p>
            <w:pPr>
              <w:spacing w:after="0"/>
              <w:rPr>
                <w:sz w:val="1"/>
                <w:szCs w:val="1"/>
                <w:color w:val="auto"/>
              </w:rPr>
            </w:pPr>
          </w:p>
        </w:tc>
      </w:tr>
      <w:tr>
        <w:trPr>
          <w:trHeight w:val="218"/>
        </w:trPr>
        <w:tc>
          <w:tcPr>
            <w:tcW w:w="3660" w:type="dxa"/>
            <w:vAlign w:val="bottom"/>
          </w:tcPr>
          <w:p>
            <w:pPr>
              <w:ind w:left="20"/>
              <w:spacing w:after="0"/>
              <w:rPr>
                <w:sz w:val="20"/>
                <w:szCs w:val="20"/>
                <w:color w:val="auto"/>
              </w:rPr>
            </w:pPr>
            <w:r>
              <w:rPr>
                <w:rFonts w:ascii="Arial" w:cs="Arial" w:eastAsia="Arial" w:hAnsi="Arial"/>
                <w:sz w:val="17"/>
                <w:szCs w:val="17"/>
                <w:color w:val="auto"/>
              </w:rPr>
              <w:t>Other comprehensive income, net of tax</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772</w:t>
            </w:r>
          </w:p>
        </w:tc>
        <w:tc>
          <w:tcPr>
            <w:tcW w:w="0" w:type="dxa"/>
            <w:vAlign w:val="bottom"/>
          </w:tcPr>
          <w:p>
            <w:pPr>
              <w:spacing w:after="0"/>
              <w:rPr>
                <w:sz w:val="1"/>
                <w:szCs w:val="1"/>
                <w:color w:val="auto"/>
              </w:rPr>
            </w:pPr>
          </w:p>
        </w:tc>
      </w:tr>
      <w:tr>
        <w:trPr>
          <w:trHeight w:val="23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May 29,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w w:val="91"/>
              </w:rPr>
              <w:t>(17,248)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90,697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right="440" w:firstLine="619"/>
        <w:spacing w:after="0" w:line="264" w:lineRule="auto"/>
        <w:rPr>
          <w:sz w:val="20"/>
          <w:szCs w:val="20"/>
          <w:color w:val="auto"/>
        </w:rPr>
      </w:pPr>
      <w:r>
        <w:rPr>
          <w:rFonts w:ascii="Arial" w:cs="Arial" w:eastAsia="Arial" w:hAnsi="Arial"/>
          <w:sz w:val="17"/>
          <w:szCs w:val="17"/>
          <w:color w:val="auto"/>
        </w:rPr>
        <w:t>The effects of this error on our previously reported consolidated statement of cash flows for the year ended May 29, 2022 as reported in the Original Report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i w:val="1"/>
                <w:iCs w:val="1"/>
                <w:color w:val="auto"/>
                <w:w w:val="90"/>
              </w:rPr>
              <w:t>As reported</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i w:val="1"/>
                <w:iCs w:val="1"/>
                <w:color w:val="auto"/>
              </w:rPr>
              <w:t>As restated</w:t>
            </w: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May 29, 2022</w:t>
            </w: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color w:val="auto"/>
              </w:rPr>
              <w:t>Adjustment</w:t>
            </w:r>
          </w:p>
        </w:tc>
        <w:tc>
          <w:tcPr>
            <w:tcW w:w="160" w:type="dxa"/>
            <w:vAlign w:val="bottom"/>
          </w:tcPr>
          <w:p>
            <w:pPr>
              <w:spacing w:after="0"/>
              <w:rPr>
                <w:sz w:val="18"/>
                <w:szCs w:val="18"/>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29, 2022</w:t>
            </w:r>
          </w:p>
        </w:tc>
      </w:tr>
      <w:tr>
        <w:trPr>
          <w:trHeight w:val="20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8"/>
        </w:trPr>
        <w:tc>
          <w:tcPr>
            <w:tcW w:w="6820" w:type="dxa"/>
            <w:vAlign w:val="bottom"/>
          </w:tcPr>
          <w:p>
            <w:pPr>
              <w:ind w:left="14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(97,431)</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(17,248)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(114,679)</w:t>
            </w:r>
          </w:p>
        </w:tc>
      </w:tr>
      <w:tr>
        <w:trPr>
          <w:trHeight w:val="220"/>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8"/>
        </w:trPr>
        <w:tc>
          <w:tcPr>
            <w:tcW w:w="6820" w:type="dxa"/>
            <w:vAlign w:val="bottom"/>
          </w:tcPr>
          <w:p>
            <w:pPr>
              <w:ind w:left="320"/>
              <w:spacing w:after="0"/>
              <w:rPr>
                <w:sz w:val="20"/>
                <w:szCs w:val="20"/>
                <w:color w:val="auto"/>
              </w:rPr>
            </w:pPr>
            <w:r>
              <w:rPr>
                <w:rFonts w:ascii="Arial" w:cs="Arial" w:eastAsia="Arial" w:hAnsi="Arial"/>
                <w:sz w:val="17"/>
                <w:szCs w:val="17"/>
                <w:color w:val="auto"/>
              </w:rPr>
              <w:t>Impairment of goodwill and long-lived and indefinite-lived assets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60,792</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17,354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78,146</w:t>
            </w:r>
          </w:p>
        </w:tc>
      </w:tr>
      <w:tr>
        <w:trPr>
          <w:trHeight w:val="220"/>
        </w:trPr>
        <w:tc>
          <w:tcPr>
            <w:tcW w:w="6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taxes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(6,990)</w:t>
            </w:r>
          </w:p>
        </w:tc>
      </w:tr>
      <w:tr>
        <w:trPr>
          <w:trHeight w:val="218"/>
        </w:trPr>
        <w:tc>
          <w:tcPr>
            <w:tcW w:w="6820" w:type="dxa"/>
            <w:vAlign w:val="bottom"/>
          </w:tcPr>
          <w:p>
            <w:pPr>
              <w:ind w:left="40"/>
              <w:spacing w:after="0"/>
              <w:rPr>
                <w:sz w:val="20"/>
                <w:szCs w:val="20"/>
                <w:color w:val="auto"/>
              </w:rPr>
            </w:pPr>
            <w:r>
              <w:rPr>
                <w:rFonts w:ascii="Arial" w:cs="Arial" w:eastAsia="Arial" w:hAnsi="Arial"/>
                <w:sz w:val="17"/>
                <w:szCs w:val="17"/>
                <w:color w:val="auto"/>
              </w:rPr>
              <w:t>Net cash used in operating activities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(24,399)</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(24,399)</w:t>
            </w:r>
          </w:p>
        </w:tc>
      </w:tr>
    </w:tbl>
    <w:p>
      <w:pPr>
        <w:spacing w:after="0" w:line="286" w:lineRule="exact"/>
        <w:rPr>
          <w:sz w:val="20"/>
          <w:szCs w:val="20"/>
          <w:color w:val="auto"/>
        </w:rPr>
      </w:pPr>
    </w:p>
    <w:p>
      <w:pPr>
        <w:ind w:right="260" w:firstLine="619"/>
        <w:spacing w:after="0" w:line="250" w:lineRule="auto"/>
        <w:rPr>
          <w:sz w:val="20"/>
          <w:szCs w:val="20"/>
          <w:color w:val="auto"/>
        </w:rPr>
      </w:pPr>
      <w:r>
        <w:rPr>
          <w:rFonts w:ascii="Arial" w:cs="Arial" w:eastAsia="Arial" w:hAnsi="Arial"/>
          <w:sz w:val="17"/>
          <w:szCs w:val="17"/>
          <w:color w:val="auto"/>
        </w:rPr>
        <w:t>The effects of this error on our previously reported basic and diluted earnings per share for the year ended May 29, 2022 as presented in Note 1 - Organization, Basis of Presentation, and Summary of Significant Accounting Policies - Per Share information of the audited financial statements reported in the Original Report are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Year Ended</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1"/>
        </w:trPr>
        <w:tc>
          <w:tcPr>
            <w:tcW w:w="2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i w:val="1"/>
                <w:iCs w:val="1"/>
                <w:color w:val="auto"/>
                <w:w w:val="90"/>
              </w:rPr>
              <w:t>As reported</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i w:val="1"/>
                <w:iCs w:val="1"/>
                <w:color w:val="auto"/>
                <w:w w:val="90"/>
              </w:rPr>
              <w:t>As restated</w:t>
            </w:r>
          </w:p>
        </w:tc>
        <w:tc>
          <w:tcPr>
            <w:tcW w:w="540" w:type="dxa"/>
            <w:vAlign w:val="bottom"/>
            <w:gridSpan w:val="2"/>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per share amounts)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May 29, 2022</w:t>
            </w:r>
          </w:p>
        </w:tc>
        <w:tc>
          <w:tcPr>
            <w:tcW w:w="2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Adjustment</w:t>
            </w:r>
          </w:p>
        </w:tc>
        <w:tc>
          <w:tcPr>
            <w:tcW w:w="180" w:type="dxa"/>
            <w:vAlign w:val="bottom"/>
          </w:tcPr>
          <w:p>
            <w:pPr>
              <w:spacing w:after="0"/>
              <w:rPr>
                <w:sz w:val="18"/>
                <w:szCs w:val="18"/>
                <w:color w:val="auto"/>
              </w:rPr>
            </w:pPr>
          </w:p>
        </w:tc>
        <w:tc>
          <w:tcPr>
            <w:tcW w:w="1860" w:type="dxa"/>
            <w:vAlign w:val="bottom"/>
            <w:gridSpan w:val="3"/>
          </w:tcPr>
          <w:p>
            <w:pPr>
              <w:jc w:val="center"/>
              <w:ind w:right="740"/>
              <w:spacing w:after="0"/>
              <w:rPr>
                <w:sz w:val="20"/>
                <w:szCs w:val="20"/>
                <w:color w:val="auto"/>
              </w:rPr>
            </w:pPr>
            <w:r>
              <w:rPr>
                <w:rFonts w:ascii="Arial" w:cs="Arial" w:eastAsia="Arial" w:hAnsi="Arial"/>
                <w:sz w:val="17"/>
                <w:szCs w:val="17"/>
                <w:color w:val="auto"/>
                <w:w w:val="93"/>
              </w:rPr>
              <w:t>May 29, 2022</w:t>
            </w:r>
          </w:p>
        </w:tc>
      </w:tr>
      <w:tr>
        <w:trPr>
          <w:trHeight w:val="200"/>
        </w:trPr>
        <w:tc>
          <w:tcPr>
            <w:tcW w:w="24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r>
      <w:tr>
        <w:trPr>
          <w:trHeight w:val="218"/>
        </w:trPr>
        <w:tc>
          <w:tcPr>
            <w:tcW w:w="24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7"/>
                <w:szCs w:val="17"/>
                <w:color w:val="auto"/>
              </w:rPr>
              <w:t>Net loss</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(97,431)</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(17,248)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(114,679)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9"/>
        </w:trPr>
        <w:tc>
          <w:tcPr>
            <w:tcW w:w="240" w:type="dxa"/>
            <w:vAlign w:val="bottom"/>
          </w:tcPr>
          <w:p>
            <w:pPr>
              <w:spacing w:after="0"/>
              <w:rPr>
                <w:sz w:val="22"/>
                <w:szCs w:val="22"/>
                <w:color w:val="auto"/>
              </w:rPr>
            </w:pPr>
          </w:p>
        </w:tc>
        <w:tc>
          <w:tcPr>
            <w:tcW w:w="48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Pr>
          <w:p>
            <w:pPr>
              <w:spacing w:after="0"/>
              <w:rPr>
                <w:sz w:val="22"/>
                <w:szCs w:val="22"/>
                <w:color w:val="auto"/>
              </w:rPr>
            </w:pPr>
          </w:p>
        </w:tc>
      </w:tr>
      <w:tr>
        <w:trPr>
          <w:trHeight w:val="218"/>
        </w:trPr>
        <w:tc>
          <w:tcPr>
            <w:tcW w:w="24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0"/>
        </w:trPr>
        <w:tc>
          <w:tcPr>
            <w:tcW w:w="24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Weighted average shares for basic and diluted net loss per share</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29,466</w:t>
            </w:r>
          </w:p>
        </w:tc>
        <w:tc>
          <w:tcPr>
            <w:tcW w:w="100" w:type="dxa"/>
            <w:vAlign w:val="bottom"/>
            <w:shd w:val="clear" w:color="auto" w:fill="CCEEFF"/>
          </w:tcPr>
          <w:p>
            <w:pPr>
              <w:spacing w:after="0"/>
              <w:rPr>
                <w:sz w:val="19"/>
                <w:szCs w:val="19"/>
                <w:color w:val="auto"/>
              </w:rPr>
            </w:pPr>
          </w:p>
        </w:tc>
        <w:tc>
          <w:tcPr>
            <w:tcW w:w="440" w:type="dxa"/>
            <w:vAlign w:val="bottom"/>
          </w:tcPr>
          <w:p>
            <w:pPr>
              <w:spacing w:after="0"/>
              <w:rPr>
                <w:sz w:val="19"/>
                <w:szCs w:val="19"/>
                <w:color w:val="auto"/>
              </w:rPr>
            </w:pPr>
          </w:p>
        </w:tc>
      </w:tr>
      <w:tr>
        <w:trPr>
          <w:trHeight w:val="258"/>
        </w:trPr>
        <w:tc>
          <w:tcPr>
            <w:tcW w:w="24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19"/>
        </w:trPr>
        <w:tc>
          <w:tcPr>
            <w:tcW w:w="24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and diluted net loss per share</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00" w:type="dxa"/>
            <w:vAlign w:val="bottom"/>
            <w:shd w:val="clear" w:color="auto" w:fill="CCEEFF"/>
          </w:tcPr>
          <w:p>
            <w:pPr>
              <w:spacing w:after="0"/>
              <w:rPr>
                <w:sz w:val="19"/>
                <w:szCs w:val="19"/>
                <w:color w:val="auto"/>
              </w:rPr>
            </w:pPr>
          </w:p>
        </w:tc>
        <w:tc>
          <w:tcPr>
            <w:tcW w:w="440" w:type="dxa"/>
            <w:vAlign w:val="bottom"/>
          </w:tcPr>
          <w:p>
            <w:pPr>
              <w:spacing w:after="0"/>
              <w:rPr>
                <w:sz w:val="19"/>
                <w:szCs w:val="19"/>
                <w:color w:val="auto"/>
              </w:rPr>
            </w:pPr>
          </w:p>
        </w:tc>
      </w:tr>
      <w:tr>
        <w:trPr>
          <w:trHeight w:val="862"/>
        </w:trPr>
        <w:tc>
          <w:tcPr>
            <w:tcW w:w="2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940" w:type="dxa"/>
            <w:vAlign w:val="bottom"/>
          </w:tcPr>
          <w:p>
            <w:pPr>
              <w:jc w:val="right"/>
              <w:ind w:right="234"/>
              <w:spacing w:after="0"/>
              <w:rPr>
                <w:sz w:val="20"/>
                <w:szCs w:val="20"/>
                <w:color w:val="auto"/>
              </w:rPr>
            </w:pPr>
            <w:r>
              <w:rPr>
                <w:rFonts w:ascii="Arial" w:cs="Arial" w:eastAsia="Arial" w:hAnsi="Arial"/>
                <w:sz w:val="17"/>
                <w:szCs w:val="17"/>
                <w:color w:val="auto"/>
              </w:rPr>
              <w:t>66</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0"/>
        </w:trPr>
        <w:tc>
          <w:tcPr>
            <w:tcW w:w="240" w:type="dxa"/>
            <w:vAlign w:val="bottom"/>
            <w:tcBorders>
              <w:bottom w:val="single" w:sz="8" w:color="9A9A9A"/>
            </w:tcBorders>
          </w:tcPr>
          <w:p>
            <w:pPr>
              <w:spacing w:after="0"/>
              <w:rPr>
                <w:sz w:val="9"/>
                <w:szCs w:val="9"/>
                <w:color w:val="auto"/>
              </w:rPr>
            </w:pPr>
          </w:p>
        </w:tc>
        <w:tc>
          <w:tcPr>
            <w:tcW w:w="48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95" w:right="319" w:bottom="1440" w:gutter="0" w:footer="0" w:header="0"/>
        </w:sectPr>
      </w:pPr>
    </w:p>
    <w:bookmarkStart w:id="71" w:name="page72"/>
    <w:bookmarkEnd w:id="71"/>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effects of this error on our previously reported property and equipment as of May 29, 2022 as presented in Note 3 - Property and Equipment of the audited financial statements reported in the Original Report, to record the impairment of property and equipment related to Yucatan as an adjustment to the historical cost,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7"/>
                <w:szCs w:val="17"/>
                <w:i w:val="1"/>
                <w:iCs w:val="1"/>
                <w:color w:val="auto"/>
              </w:rPr>
              <w:t>As reported</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5"/>
          </w:tcPr>
          <w:p>
            <w:pPr>
              <w:jc w:val="right"/>
              <w:ind w:right="294"/>
              <w:spacing w:after="0"/>
              <w:rPr>
                <w:sz w:val="20"/>
                <w:szCs w:val="20"/>
                <w:color w:val="auto"/>
              </w:rPr>
            </w:pPr>
            <w:r>
              <w:rPr>
                <w:rFonts w:ascii="Arial" w:cs="Arial" w:eastAsia="Arial" w:hAnsi="Arial"/>
                <w:sz w:val="17"/>
                <w:szCs w:val="17"/>
                <w:i w:val="1"/>
                <w:iCs w:val="1"/>
                <w:color w:val="auto"/>
              </w:rPr>
              <w:t>As restated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color w:val="auto"/>
              </w:rPr>
              <w:t>May 29, 2022</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7"/>
          </w:tcPr>
          <w:p>
            <w:pPr>
              <w:jc w:val="right"/>
              <w:ind w:right="274"/>
              <w:spacing w:after="0"/>
              <w:rPr>
                <w:sz w:val="20"/>
                <w:szCs w:val="20"/>
                <w:color w:val="auto"/>
              </w:rPr>
            </w:pPr>
            <w:r>
              <w:rPr>
                <w:rFonts w:ascii="Arial" w:cs="Arial" w:eastAsia="Arial" w:hAnsi="Arial"/>
                <w:sz w:val="17"/>
                <w:szCs w:val="17"/>
                <w:color w:val="auto"/>
              </w:rPr>
              <w:t>Adjustment</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5"/>
          </w:tcPr>
          <w:p>
            <w:pPr>
              <w:jc w:val="right"/>
              <w:ind w:right="194"/>
              <w:spacing w:after="0"/>
              <w:rPr>
                <w:sz w:val="20"/>
                <w:szCs w:val="20"/>
                <w:color w:val="auto"/>
              </w:rPr>
            </w:pPr>
            <w:r>
              <w:rPr>
                <w:rFonts w:ascii="Arial" w:cs="Arial" w:eastAsia="Arial" w:hAnsi="Arial"/>
                <w:sz w:val="17"/>
                <w:szCs w:val="17"/>
                <w:color w:val="auto"/>
              </w:rPr>
              <w:t>May 29, 2022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3,710</w:t>
            </w:r>
          </w:p>
        </w:tc>
        <w:tc>
          <w:tcPr>
            <w:tcW w:w="900" w:type="dxa"/>
            <w:vAlign w:val="bottom"/>
            <w:gridSpan w:val="2"/>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Buildings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7"/>
                <w:szCs w:val="17"/>
                <w:color w:val="auto"/>
              </w:rPr>
              <w:t>60,271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7"/>
                <w:szCs w:val="17"/>
                <w:color w:val="auto"/>
                <w:w w:val="89"/>
              </w:rPr>
              <w:t>(1,912)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58,359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6,793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9"/>
              </w:rPr>
              <w:t>(1,650)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5,143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4600" w:type="dxa"/>
            <w:vAlign w:val="bottom"/>
            <w:gridSpan w:val="5"/>
          </w:tcPr>
          <w:p>
            <w:pPr>
              <w:ind w:left="20"/>
              <w:spacing w:after="0"/>
              <w:rPr>
                <w:sz w:val="20"/>
                <w:szCs w:val="20"/>
                <w:color w:val="auto"/>
              </w:rPr>
            </w:pPr>
            <w:r>
              <w:rPr>
                <w:rFonts w:ascii="Arial" w:cs="Arial" w:eastAsia="Arial" w:hAnsi="Arial"/>
                <w:sz w:val="17"/>
                <w:szCs w:val="17"/>
                <w:color w:val="auto"/>
                <w:w w:val="91"/>
              </w:rPr>
              <w:t>Computers, capitalized software, machinery, equipment and autos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7"/>
                <w:szCs w:val="17"/>
                <w:color w:val="auto"/>
              </w:rPr>
              <w:t>88,936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6"/>
          </w:tcPr>
          <w:p>
            <w:pPr>
              <w:jc w:val="right"/>
              <w:spacing w:after="0"/>
              <w:rPr>
                <w:sz w:val="20"/>
                <w:szCs w:val="20"/>
                <w:color w:val="auto"/>
              </w:rPr>
            </w:pPr>
            <w:r>
              <w:rPr>
                <w:rFonts w:ascii="Arial" w:cs="Arial" w:eastAsia="Arial" w:hAnsi="Arial"/>
                <w:sz w:val="17"/>
                <w:szCs w:val="17"/>
                <w:color w:val="auto"/>
              </w:rPr>
              <w:t>(13,962)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74,974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2,290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2,099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Construction in process</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22,935</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22,786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Gross property and equipment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184,935</w:t>
            </w:r>
          </w:p>
        </w:tc>
        <w:tc>
          <w:tcPr>
            <w:tcW w:w="900" w:type="dxa"/>
            <w:vAlign w:val="bottom"/>
            <w:gridSpan w:val="2"/>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72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(17,864)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167,071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446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(54,500)</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5,960</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(48,540)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3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130,435</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7"/>
                <w:szCs w:val="17"/>
                <w:color w:val="auto"/>
              </w:rPr>
              <w:t>(11,904)</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118,531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38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3"/>
        </w:trPr>
        <w:tc>
          <w:tcPr>
            <w:tcW w:w="11120" w:type="dxa"/>
            <w:vAlign w:val="bottom"/>
            <w:gridSpan w:val="29"/>
          </w:tcPr>
          <w:p>
            <w:pPr>
              <w:ind w:left="620"/>
              <w:spacing w:after="0"/>
              <w:rPr>
                <w:sz w:val="20"/>
                <w:szCs w:val="20"/>
                <w:color w:val="auto"/>
              </w:rPr>
            </w:pPr>
            <w:r>
              <w:rPr>
                <w:rFonts w:ascii="Arial" w:cs="Arial" w:eastAsia="Arial" w:hAnsi="Arial"/>
                <w:sz w:val="17"/>
                <w:szCs w:val="17"/>
                <w:color w:val="auto"/>
                <w:w w:val="93"/>
              </w:rPr>
              <w:t>The effects of this error on our previously reported intangible assets for the year ended May 29, 2022 as presented in Note 4 - Goodwill and Intangible</w:t>
            </w:r>
          </w:p>
        </w:tc>
      </w:tr>
      <w:tr>
        <w:trPr>
          <w:trHeight w:val="217"/>
        </w:trPr>
        <w:tc>
          <w:tcPr>
            <w:tcW w:w="7120" w:type="dxa"/>
            <w:vAlign w:val="bottom"/>
            <w:gridSpan w:val="12"/>
          </w:tcPr>
          <w:p>
            <w:pPr>
              <w:spacing w:after="0"/>
              <w:rPr>
                <w:sz w:val="20"/>
                <w:szCs w:val="20"/>
                <w:color w:val="auto"/>
              </w:rPr>
            </w:pPr>
            <w:r>
              <w:rPr>
                <w:rFonts w:ascii="Arial" w:cs="Arial" w:eastAsia="Arial" w:hAnsi="Arial"/>
                <w:sz w:val="17"/>
                <w:szCs w:val="17"/>
                <w:color w:val="auto"/>
              </w:rPr>
              <w:t>Assets of the audited financial statements reported in the Original Report are as follows: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3"/>
        </w:trPr>
        <w:tc>
          <w:tcPr>
            <w:tcW w:w="3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left="874"/>
              <w:spacing w:after="0"/>
              <w:rPr>
                <w:sz w:val="20"/>
                <w:szCs w:val="20"/>
                <w:color w:val="auto"/>
              </w:rPr>
            </w:pPr>
            <w:r>
              <w:rPr>
                <w:rFonts w:ascii="Arial" w:cs="Arial" w:eastAsia="Arial" w:hAnsi="Arial"/>
                <w:sz w:val="17"/>
                <w:szCs w:val="17"/>
                <w:color w:val="auto"/>
                <w:w w:val="93"/>
              </w:rPr>
              <w:t>Gross Carrying Amount</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3"/>
          </w:tcPr>
          <w:p>
            <w:pPr>
              <w:jc w:val="right"/>
              <w:ind w:right="374"/>
              <w:spacing w:after="0"/>
              <w:rPr>
                <w:sz w:val="20"/>
                <w:szCs w:val="20"/>
                <w:color w:val="auto"/>
              </w:rPr>
            </w:pPr>
            <w:r>
              <w:rPr>
                <w:rFonts w:ascii="Arial" w:cs="Arial" w:eastAsia="Arial" w:hAnsi="Arial"/>
                <w:sz w:val="17"/>
                <w:szCs w:val="17"/>
                <w:color w:val="auto"/>
              </w:rPr>
              <w:t>Accumulated Amortization</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11"/>
        </w:trPr>
        <w:tc>
          <w:tcPr>
            <w:tcW w:w="3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i w:val="1"/>
                <w:iCs w:val="1"/>
                <w:color w:val="auto"/>
                <w:w w:val="90"/>
              </w:rPr>
              <w:t>As reported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i w:val="1"/>
                <w:iCs w:val="1"/>
                <w:color w:val="auto"/>
                <w:w w:val="88"/>
              </w:rPr>
              <w:t>As restated</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i w:val="1"/>
                <w:iCs w:val="1"/>
                <w:color w:val="auto"/>
                <w:w w:val="97"/>
              </w:rPr>
              <w:t>As reported</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7"/>
                <w:szCs w:val="17"/>
                <w:i w:val="1"/>
                <w:iCs w:val="1"/>
                <w:color w:val="auto"/>
              </w:rPr>
              <w:t>As restated</w:t>
            </w:r>
          </w:p>
        </w:tc>
      </w:tr>
      <w:tr>
        <w:trPr>
          <w:trHeight w:val="213"/>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May 29, 2022</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Adjustment</w:t>
            </w:r>
          </w:p>
        </w:tc>
        <w:tc>
          <w:tcPr>
            <w:tcW w:w="100" w:type="dxa"/>
            <w:vAlign w:val="bottom"/>
          </w:tcPr>
          <w:p>
            <w:pPr>
              <w:spacing w:after="0"/>
              <w:rPr>
                <w:sz w:val="18"/>
                <w:szCs w:val="18"/>
                <w:color w:val="auto"/>
              </w:rPr>
            </w:pPr>
          </w:p>
        </w:tc>
        <w:tc>
          <w:tcPr>
            <w:tcW w:w="1320" w:type="dxa"/>
            <w:vAlign w:val="bottom"/>
            <w:gridSpan w:val="4"/>
          </w:tcPr>
          <w:p>
            <w:pPr>
              <w:jc w:val="center"/>
              <w:ind w:right="200"/>
              <w:spacing w:after="0"/>
              <w:rPr>
                <w:sz w:val="20"/>
                <w:szCs w:val="20"/>
                <w:color w:val="auto"/>
              </w:rPr>
            </w:pPr>
            <w:r>
              <w:rPr>
                <w:rFonts w:ascii="Arial" w:cs="Arial" w:eastAsia="Arial" w:hAnsi="Arial"/>
                <w:sz w:val="17"/>
                <w:szCs w:val="17"/>
                <w:color w:val="auto"/>
                <w:w w:val="93"/>
              </w:rPr>
              <w:t>May 29, 2022</w:t>
            </w:r>
          </w:p>
        </w:tc>
        <w:tc>
          <w:tcPr>
            <w:tcW w:w="180" w:type="dxa"/>
            <w:vAlign w:val="bottom"/>
          </w:tcPr>
          <w:p>
            <w:pPr>
              <w:spacing w:after="0"/>
              <w:rPr>
                <w:sz w:val="18"/>
                <w:szCs w:val="18"/>
                <w:color w:val="auto"/>
              </w:rPr>
            </w:pPr>
          </w:p>
        </w:tc>
        <w:tc>
          <w:tcPr>
            <w:tcW w:w="1080" w:type="dxa"/>
            <w:vAlign w:val="bottom"/>
            <w:gridSpan w:val="5"/>
          </w:tcPr>
          <w:p>
            <w:pPr>
              <w:jc w:val="right"/>
              <w:ind w:right="120"/>
              <w:spacing w:after="0"/>
              <w:rPr>
                <w:sz w:val="20"/>
                <w:szCs w:val="20"/>
                <w:color w:val="auto"/>
              </w:rPr>
            </w:pPr>
            <w:r>
              <w:rPr>
                <w:rFonts w:ascii="Arial" w:cs="Arial" w:eastAsia="Arial" w:hAnsi="Arial"/>
                <w:sz w:val="17"/>
                <w:szCs w:val="17"/>
                <w:color w:val="auto"/>
                <w:w w:val="91"/>
              </w:rPr>
              <w:t>May 29, 2022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7"/>
                <w:szCs w:val="17"/>
                <w:color w:val="auto"/>
              </w:rPr>
              <w:t>Adjustment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7"/>
                <w:szCs w:val="17"/>
                <w:color w:val="auto"/>
              </w:rPr>
              <w:t>May 29, 2022</w:t>
            </w:r>
          </w:p>
        </w:tc>
      </w:tr>
      <w:tr>
        <w:trPr>
          <w:trHeight w:val="200"/>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r>
      <w:tr>
        <w:trPr>
          <w:trHeight w:val="218"/>
        </w:trPr>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Yucatan Foods (Curation Foods)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3,850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(3,850)</w:t>
            </w:r>
          </w:p>
        </w:tc>
        <w:tc>
          <w:tcPr>
            <w:tcW w:w="100" w:type="dxa"/>
            <w:vAlign w:val="bottom"/>
            <w:tcBorders>
              <w:bottom w:val="single" w:sz="8" w:color="CCEEFF"/>
            </w:tcBorders>
            <w:gridSpan w:val="2"/>
          </w:tcPr>
          <w:p>
            <w:pPr>
              <w:spacing w:after="0"/>
              <w:rPr>
                <w:sz w:val="18"/>
                <w:szCs w:val="18"/>
                <w:color w:val="auto"/>
              </w:rPr>
            </w:pPr>
          </w:p>
        </w:tc>
        <w:tc>
          <w:tcPr>
            <w:tcW w:w="7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3"/>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customer relationships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7,550</w:t>
            </w:r>
          </w:p>
        </w:tc>
        <w:tc>
          <w:tcPr>
            <w:tcW w:w="540" w:type="dxa"/>
            <w:vAlign w:val="bottom"/>
            <w:gridSpan w:val="3"/>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(3,850)</w:t>
            </w:r>
          </w:p>
        </w:tc>
        <w:tc>
          <w:tcPr>
            <w:tcW w:w="820" w:type="dxa"/>
            <w:vAlign w:val="bottom"/>
            <w:gridSpan w:val="3"/>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3,700</w:t>
            </w: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Trademarks/tradenames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Yucatan Foods (Curation Foods)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1"/>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trademarks/tradenames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8,700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tcPr>
          <w:p>
            <w:pPr>
              <w:spacing w:after="0"/>
              <w:rPr>
                <w:sz w:val="18"/>
                <w:szCs w:val="18"/>
                <w:color w:val="auto"/>
              </w:rPr>
            </w:pPr>
          </w:p>
        </w:tc>
        <w:tc>
          <w:tcPr>
            <w:tcW w:w="7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33"/>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23,100</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(9,300)</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13,800</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7"/>
                <w:szCs w:val="17"/>
                <w:color w:val="auto"/>
              </w:rPr>
              <w:t>7,550</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(3,850)</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3,700</w:t>
            </w:r>
          </w:p>
        </w:tc>
      </w:tr>
      <w:tr>
        <w:trPr>
          <w:trHeight w:val="20"/>
        </w:trPr>
        <w:tc>
          <w:tcPr>
            <w:tcW w:w="30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537"/>
        </w:trPr>
        <w:tc>
          <w:tcPr>
            <w:tcW w:w="5700" w:type="dxa"/>
            <w:vAlign w:val="bottom"/>
            <w:gridSpan w:val="7"/>
          </w:tcPr>
          <w:p>
            <w:pPr>
              <w:ind w:left="20"/>
              <w:spacing w:after="0"/>
              <w:rPr>
                <w:sz w:val="20"/>
                <w:szCs w:val="20"/>
                <w:color w:val="auto"/>
              </w:rPr>
            </w:pPr>
            <w:r>
              <w:rPr>
                <w:rFonts w:ascii="Arial" w:cs="Arial" w:eastAsia="Arial" w:hAnsi="Arial"/>
                <w:sz w:val="17"/>
                <w:szCs w:val="17"/>
                <w:color w:val="auto"/>
                <w:w w:val="93"/>
              </w:rPr>
              <w:t>The amortization expense for each year presented are as follows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9"/>
        </w:trPr>
        <w:tc>
          <w:tcPr>
            <w:tcW w:w="3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3"/>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tcPr>
          <w:p>
            <w:pPr>
              <w:spacing w:after="0"/>
              <w:rPr>
                <w:sz w:val="22"/>
                <w:szCs w:val="22"/>
                <w:color w:val="auto"/>
              </w:rPr>
            </w:pPr>
          </w:p>
        </w:tc>
      </w:tr>
      <w:tr>
        <w:trPr>
          <w:trHeight w:val="219"/>
        </w:trPr>
        <w:tc>
          <w:tcPr>
            <w:tcW w:w="3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94"/>
              <w:spacing w:after="0"/>
              <w:rPr>
                <w:sz w:val="20"/>
                <w:szCs w:val="20"/>
                <w:color w:val="auto"/>
              </w:rPr>
            </w:pPr>
            <w:r>
              <w:rPr>
                <w:rFonts w:ascii="Arial" w:cs="Arial" w:eastAsia="Arial" w:hAnsi="Arial"/>
                <w:sz w:val="17"/>
                <w:szCs w:val="17"/>
                <w:i w:val="1"/>
                <w:iCs w:val="1"/>
                <w:color w:val="auto"/>
              </w:rPr>
              <w:t>As reported</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320"/>
              <w:spacing w:after="0"/>
              <w:rPr>
                <w:sz w:val="20"/>
                <w:szCs w:val="20"/>
                <w:color w:val="auto"/>
              </w:rPr>
            </w:pPr>
            <w:r>
              <w:rPr>
                <w:rFonts w:ascii="Arial" w:cs="Arial" w:eastAsia="Arial" w:hAnsi="Arial"/>
                <w:sz w:val="17"/>
                <w:szCs w:val="17"/>
                <w:i w:val="1"/>
                <w:iCs w:val="1"/>
                <w:color w:val="auto"/>
                <w:w w:val="94"/>
              </w:rPr>
              <w:t>Adjustment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i w:val="1"/>
                <w:iCs w:val="1"/>
                <w:color w:val="auto"/>
              </w:rPr>
              <w:t>As restated</w:t>
            </w:r>
          </w:p>
        </w:tc>
        <w:tc>
          <w:tcPr>
            <w:tcW w:w="100" w:type="dxa"/>
            <w:vAlign w:val="bottom"/>
          </w:tcPr>
          <w:p>
            <w:pPr>
              <w:spacing w:after="0"/>
              <w:rPr>
                <w:sz w:val="19"/>
                <w:szCs w:val="19"/>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Fiscal year 2023</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1,100</w:t>
            </w:r>
          </w:p>
        </w:tc>
        <w:tc>
          <w:tcPr>
            <w:tcW w:w="360" w:type="dxa"/>
            <w:vAlign w:val="bottom"/>
            <w:gridSpan w:val="5"/>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(885)</w:t>
            </w:r>
          </w:p>
        </w:tc>
        <w:tc>
          <w:tcPr>
            <w:tcW w:w="60" w:type="dxa"/>
            <w:vAlign w:val="bottom"/>
          </w:tcPr>
          <w:p>
            <w:pPr>
              <w:spacing w:after="0"/>
              <w:rPr>
                <w:sz w:val="18"/>
                <w:szCs w:val="18"/>
                <w:color w:val="auto"/>
              </w:rPr>
            </w:pPr>
          </w:p>
        </w:tc>
        <w:tc>
          <w:tcPr>
            <w:tcW w:w="820" w:type="dxa"/>
            <w:vAlign w:val="bottom"/>
            <w:gridSpan w:val="3"/>
          </w:tcPr>
          <w:p>
            <w:pPr>
              <w:jc w:val="right"/>
              <w:ind w:right="594"/>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8"/>
                <w:szCs w:val="18"/>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year 2024</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9"/>
                <w:szCs w:val="19"/>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Fiscal year 2025</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(885)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8"/>
                <w:szCs w:val="18"/>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year 2026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9"/>
                <w:szCs w:val="19"/>
                <w:color w:val="auto"/>
              </w:rPr>
            </w:pPr>
          </w:p>
        </w:tc>
      </w:tr>
      <w:tr>
        <w:trPr>
          <w:trHeight w:val="218"/>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Fiscal year 2027</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1,100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(885)</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8"/>
                <w:szCs w:val="18"/>
                <w:color w:val="auto"/>
              </w:rPr>
            </w:pPr>
          </w:p>
        </w:tc>
      </w:tr>
      <w:tr>
        <w:trPr>
          <w:trHeight w:val="233"/>
        </w:trPr>
        <w:tc>
          <w:tcPr>
            <w:tcW w:w="3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5,500</w:t>
            </w:r>
          </w:p>
        </w:tc>
        <w:tc>
          <w:tcPr>
            <w:tcW w:w="36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(4,425)</w:t>
            </w:r>
          </w:p>
        </w:tc>
        <w:tc>
          <w:tcPr>
            <w:tcW w:w="6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1,075</w:t>
            </w:r>
          </w:p>
        </w:tc>
        <w:tc>
          <w:tcPr>
            <w:tcW w:w="100" w:type="dxa"/>
            <w:vAlign w:val="bottom"/>
          </w:tcPr>
          <w:p>
            <w:pPr>
              <w:spacing w:after="0"/>
              <w:rPr>
                <w:sz w:val="20"/>
                <w:szCs w:val="20"/>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2" w:name="page73"/>
    <w:bookmarkEnd w:id="72"/>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effects of this error on our previously reported income taxes for the year ended May 29, 2022 as presented in Note 7 - Income Taxes of the audited financial statements reported in the Original Report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Year Ended</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4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7"/>
                <w:szCs w:val="17"/>
                <w:i w:val="1"/>
                <w:iCs w:val="1"/>
                <w:color w:val="auto"/>
                <w:w w:val="90"/>
              </w:rPr>
              <w:t>As reported</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i w:val="1"/>
                <w:iCs w:val="1"/>
                <w:color w:val="auto"/>
              </w:rPr>
              <w:t>As restated</w:t>
            </w:r>
          </w:p>
        </w:tc>
      </w:tr>
      <w:tr>
        <w:trPr>
          <w:trHeight w:val="21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23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7"/>
                <w:szCs w:val="17"/>
                <w:color w:val="auto"/>
                <w:w w:val="93"/>
              </w:rPr>
              <w:t>May 29, 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Adjustment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8"/>
              </w:rPr>
              <w:t>May 29, 2022</w:t>
            </w:r>
          </w:p>
        </w:tc>
      </w:tr>
      <w:tr>
        <w:trPr>
          <w:trHeight w:val="20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2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8"/>
        </w:trPr>
        <w:tc>
          <w:tcPr>
            <w:tcW w:w="4180" w:type="dxa"/>
            <w:vAlign w:val="bottom"/>
          </w:tcPr>
          <w:p>
            <w:pPr>
              <w:ind w:left="140"/>
              <w:spacing w:after="0"/>
              <w:rPr>
                <w:sz w:val="20"/>
                <w:szCs w:val="20"/>
                <w:color w:val="auto"/>
              </w:rPr>
            </w:pPr>
            <w:r>
              <w:rPr>
                <w:rFonts w:ascii="Arial" w:cs="Arial" w:eastAsia="Arial" w:hAnsi="Arial"/>
                <w:sz w:val="17"/>
                <w:szCs w:val="17"/>
                <w:color w:val="auto"/>
              </w:rPr>
              <w:t>Federal</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(5,562)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(5,670)</w:t>
            </w:r>
          </w:p>
        </w:tc>
      </w:tr>
      <w:tr>
        <w:trPr>
          <w:trHeight w:val="220"/>
        </w:trPr>
        <w:tc>
          <w:tcPr>
            <w:tcW w:w="4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2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r>
      <w:tr>
        <w:trPr>
          <w:trHeight w:val="211"/>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w:t>
            </w:r>
          </w:p>
        </w:tc>
        <w:tc>
          <w:tcPr>
            <w:tcW w:w="23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(6,218)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(6,324)</w:t>
            </w:r>
          </w:p>
        </w:tc>
      </w:tr>
      <w:tr>
        <w:trPr>
          <w:trHeight w:val="233"/>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2800" w:type="dxa"/>
            <w:vAlign w:val="bottom"/>
            <w:gridSpan w:val="3"/>
            <w:shd w:val="clear" w:color="auto" w:fill="CCEEFF"/>
          </w:tcPr>
          <w:p>
            <w:pPr>
              <w:ind w:left="2660"/>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(5,839)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(5,945)</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770"/>
        </w:trPr>
        <w:tc>
          <w:tcPr>
            <w:tcW w:w="418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2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7"/>
                <w:szCs w:val="17"/>
                <w:color w:val="auto"/>
                <w:w w:val="89"/>
              </w:rPr>
              <w:t>Year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12"/>
        </w:trPr>
        <w:tc>
          <w:tcPr>
            <w:tcW w:w="4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i w:val="1"/>
                <w:iCs w:val="1"/>
                <w:color w:val="auto"/>
              </w:rPr>
              <w:t>As reported</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i w:val="1"/>
                <w:iCs w:val="1"/>
                <w:color w:val="auto"/>
              </w:rPr>
              <w:t>As restated</w:t>
            </w:r>
          </w:p>
        </w:tc>
      </w:tr>
      <w:tr>
        <w:trPr>
          <w:trHeight w:val="212"/>
        </w:trPr>
        <w:tc>
          <w:tcPr>
            <w:tcW w:w="418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7"/>
                <w:szCs w:val="17"/>
                <w:color w:val="auto"/>
              </w:rPr>
              <w:t>May 29, 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94"/>
              </w:rPr>
              <w:t>Adjustment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95"/>
              </w:rPr>
              <w:t>May 29, 2022</w:t>
            </w:r>
          </w:p>
        </w:tc>
      </w:tr>
      <w:tr>
        <w:trPr>
          <w:trHeight w:val="213"/>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at U.S. statutory rate</w:t>
            </w:r>
          </w:p>
        </w:tc>
        <w:tc>
          <w:tcPr>
            <w:tcW w:w="264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(10,904)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(3,644)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(14,548)</w:t>
            </w:r>
          </w:p>
        </w:tc>
      </w:tr>
      <w:tr>
        <w:trPr>
          <w:trHeight w:val="218"/>
        </w:trPr>
        <w:tc>
          <w:tcPr>
            <w:tcW w:w="4180" w:type="dxa"/>
            <w:vAlign w:val="bottom"/>
          </w:tcPr>
          <w:p>
            <w:pPr>
              <w:ind w:left="20"/>
              <w:spacing w:after="0"/>
              <w:rPr>
                <w:sz w:val="20"/>
                <w:szCs w:val="20"/>
                <w:color w:val="auto"/>
              </w:rPr>
            </w:pPr>
            <w:r>
              <w:rPr>
                <w:rFonts w:ascii="Arial" w:cs="Arial" w:eastAsia="Arial" w:hAnsi="Arial"/>
                <w:sz w:val="17"/>
                <w:szCs w:val="17"/>
                <w:color w:val="auto"/>
              </w:rPr>
              <w:t>State income taxes, net of federal benefit</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(1,639)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94"/>
              <w:spacing w:after="0"/>
              <w:rPr>
                <w:sz w:val="20"/>
                <w:szCs w:val="20"/>
                <w:color w:val="auto"/>
              </w:rPr>
            </w:pPr>
            <w:r>
              <w:rPr>
                <w:rFonts w:ascii="Arial" w:cs="Arial" w:eastAsia="Arial" w:hAnsi="Arial"/>
                <w:sz w:val="17"/>
                <w:szCs w:val="17"/>
                <w:color w:val="auto"/>
              </w:rPr>
              <w:t>(556)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(2,195)</w:t>
            </w:r>
          </w:p>
        </w:tc>
      </w:tr>
      <w:tr>
        <w:trPr>
          <w:trHeight w:val="22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reform/CARES Act</w:t>
            </w:r>
          </w:p>
        </w:tc>
        <w:tc>
          <w:tcPr>
            <w:tcW w:w="2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18"/>
        </w:trPr>
        <w:tc>
          <w:tcPr>
            <w:tcW w:w="4180" w:type="dxa"/>
            <w:vAlign w:val="bottom"/>
          </w:tcPr>
          <w:p>
            <w:pPr>
              <w:ind w:left="20"/>
              <w:spacing w:after="0"/>
              <w:rPr>
                <w:sz w:val="20"/>
                <w:szCs w:val="20"/>
                <w:color w:val="auto"/>
              </w:rPr>
            </w:pPr>
            <w:r>
              <w:rPr>
                <w:rFonts w:ascii="Arial" w:cs="Arial" w:eastAsia="Arial" w:hAnsi="Arial"/>
                <w:sz w:val="17"/>
                <w:szCs w:val="17"/>
                <w:color w:val="auto"/>
              </w:rPr>
              <w:t>Change in valuation allowance</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Arial" w:cs="Arial" w:eastAsia="Arial" w:hAnsi="Arial"/>
                <w:sz w:val="17"/>
                <w:szCs w:val="17"/>
                <w:color w:val="auto"/>
              </w:rPr>
              <w:t>6,040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4,094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10,134</w:t>
            </w:r>
          </w:p>
        </w:tc>
      </w:tr>
      <w:tr>
        <w:trPr>
          <w:trHeight w:val="22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credit carryforwards</w:t>
            </w:r>
          </w:p>
        </w:tc>
        <w:tc>
          <w:tcPr>
            <w:tcW w:w="2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(436)</w:t>
            </w:r>
          </w:p>
        </w:tc>
      </w:tr>
      <w:tr>
        <w:trPr>
          <w:trHeight w:val="218"/>
        </w:trPr>
        <w:tc>
          <w:tcPr>
            <w:tcW w:w="4180" w:type="dxa"/>
            <w:vAlign w:val="bottom"/>
          </w:tcPr>
          <w:p>
            <w:pPr>
              <w:ind w:left="20"/>
              <w:spacing w:after="0"/>
              <w:rPr>
                <w:sz w:val="20"/>
                <w:szCs w:val="20"/>
                <w:color w:val="auto"/>
              </w:rPr>
            </w:pPr>
            <w:r>
              <w:rPr>
                <w:rFonts w:ascii="Arial" w:cs="Arial" w:eastAsia="Arial" w:hAnsi="Arial"/>
                <w:sz w:val="17"/>
                <w:szCs w:val="17"/>
                <w:color w:val="auto"/>
              </w:rPr>
              <w:t>Other compensation-related activity</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234</w:t>
            </w:r>
          </w:p>
        </w:tc>
      </w:tr>
      <w:tr>
        <w:trPr>
          <w:trHeight w:val="22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of goodwill</w:t>
            </w:r>
          </w:p>
        </w:tc>
        <w:tc>
          <w:tcPr>
            <w:tcW w:w="2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2,347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2,347</w:t>
            </w:r>
          </w:p>
        </w:tc>
      </w:tr>
      <w:tr>
        <w:trPr>
          <w:trHeight w:val="218"/>
        </w:trPr>
        <w:tc>
          <w:tcPr>
            <w:tcW w:w="4180" w:type="dxa"/>
            <w:vAlign w:val="bottom"/>
          </w:tcPr>
          <w:p>
            <w:pPr>
              <w:ind w:left="20"/>
              <w:spacing w:after="0"/>
              <w:rPr>
                <w:sz w:val="20"/>
                <w:szCs w:val="20"/>
                <w:color w:val="auto"/>
              </w:rPr>
            </w:pPr>
            <w:r>
              <w:rPr>
                <w:rFonts w:ascii="Arial" w:cs="Arial" w:eastAsia="Arial" w:hAnsi="Arial"/>
                <w:sz w:val="17"/>
                <w:szCs w:val="17"/>
                <w:color w:val="auto"/>
              </w:rPr>
              <w:t>Foreign rate differential</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(496)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(496)</w:t>
            </w: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(985)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(985)</w:t>
            </w:r>
          </w:p>
        </w:tc>
      </w:tr>
      <w:tr>
        <w:trPr>
          <w:trHeight w:val="213"/>
        </w:trPr>
        <w:tc>
          <w:tcPr>
            <w:tcW w:w="4180" w:type="dxa"/>
            <w:vAlign w:val="bottom"/>
          </w:tcPr>
          <w:p>
            <w:pPr>
              <w:ind w:left="140"/>
              <w:spacing w:after="0"/>
              <w:rPr>
                <w:sz w:val="20"/>
                <w:szCs w:val="20"/>
                <w:color w:val="auto"/>
              </w:rPr>
            </w:pPr>
            <w:r>
              <w:rPr>
                <w:rFonts w:ascii="Arial" w:cs="Arial" w:eastAsia="Arial" w:hAnsi="Arial"/>
                <w:sz w:val="17"/>
                <w:szCs w:val="17"/>
                <w:color w:val="auto"/>
              </w:rPr>
              <w:t>Income tax benefit</w:t>
            </w:r>
          </w:p>
        </w:tc>
        <w:tc>
          <w:tcPr>
            <w:tcW w:w="264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(5,839)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94"/>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8"/>
                <w:szCs w:val="18"/>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(5,945)</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62"/>
        </w:trPr>
        <w:tc>
          <w:tcPr>
            <w:tcW w:w="418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8"/>
        </w:trPr>
        <w:tc>
          <w:tcPr>
            <w:tcW w:w="4180" w:type="dxa"/>
            <w:vAlign w:val="bottom"/>
          </w:tcPr>
          <w:p>
            <w:pPr>
              <w:ind w:left="140"/>
              <w:spacing w:after="0"/>
              <w:rPr>
                <w:sz w:val="20"/>
                <w:szCs w:val="20"/>
                <w:color w:val="auto"/>
              </w:rPr>
            </w:pPr>
            <w:r>
              <w:rPr>
                <w:rFonts w:ascii="Arial" w:cs="Arial" w:eastAsia="Arial" w:hAnsi="Arial"/>
                <w:sz w:val="17"/>
                <w:szCs w:val="17"/>
                <w:color w:val="auto"/>
              </w:rPr>
              <w:t>Effective Tax Rate</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11.20 %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8.56 %</w:t>
            </w:r>
          </w:p>
        </w:tc>
      </w:tr>
      <w:tr>
        <w:trPr>
          <w:trHeight w:val="1096"/>
        </w:trPr>
        <w:tc>
          <w:tcPr>
            <w:tcW w:w="4180" w:type="dxa"/>
            <w:vAlign w:val="bottom"/>
          </w:tcPr>
          <w:p>
            <w:pPr>
              <w:spacing w:after="0"/>
              <w:rPr>
                <w:sz w:val="24"/>
                <w:szCs w:val="24"/>
                <w:color w:val="auto"/>
              </w:rPr>
            </w:pPr>
          </w:p>
        </w:tc>
        <w:tc>
          <w:tcPr>
            <w:tcW w:w="2320" w:type="dxa"/>
            <w:vAlign w:val="bottom"/>
          </w:tcPr>
          <w:p>
            <w:pPr>
              <w:jc w:val="right"/>
              <w:ind w:right="714"/>
              <w:spacing w:after="0"/>
              <w:rPr>
                <w:sz w:val="20"/>
                <w:szCs w:val="20"/>
                <w:color w:val="auto"/>
              </w:rPr>
            </w:pPr>
            <w:r>
              <w:rPr>
                <w:rFonts w:ascii="Arial" w:cs="Arial" w:eastAsia="Arial" w:hAnsi="Arial"/>
                <w:sz w:val="17"/>
                <w:szCs w:val="17"/>
                <w:color w:val="auto"/>
              </w:rPr>
              <w:t>68</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0"/>
        </w:trPr>
        <w:tc>
          <w:tcPr>
            <w:tcW w:w="418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3" w:name="page74"/>
    <w:bookmarkEnd w:id="73"/>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4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Year Ended</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1"/>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7"/>
                <w:szCs w:val="17"/>
                <w:i w:val="1"/>
                <w:iCs w:val="1"/>
                <w:color w:val="auto"/>
                <w:w w:val="90"/>
              </w:rPr>
              <w:t>As reported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234"/>
              <w:spacing w:after="0"/>
              <w:rPr>
                <w:sz w:val="20"/>
                <w:szCs w:val="20"/>
                <w:color w:val="auto"/>
              </w:rPr>
            </w:pPr>
            <w:r>
              <w:rPr>
                <w:rFonts w:ascii="Arial" w:cs="Arial" w:eastAsia="Arial" w:hAnsi="Arial"/>
                <w:sz w:val="17"/>
                <w:szCs w:val="17"/>
                <w:i w:val="1"/>
                <w:iCs w:val="1"/>
                <w:color w:val="auto"/>
              </w:rPr>
              <w:t>As restated</w:t>
            </w:r>
          </w:p>
        </w:tc>
      </w:tr>
      <w:tr>
        <w:trPr>
          <w:trHeight w:val="220"/>
        </w:trPr>
        <w:tc>
          <w:tcPr>
            <w:tcW w:w="6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May 29, 2022</w:t>
            </w:r>
          </w:p>
        </w:tc>
        <w:tc>
          <w:tcPr>
            <w:tcW w:w="20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color w:val="auto"/>
              </w:rPr>
              <w:t>Adjustment</w:t>
            </w:r>
          </w:p>
        </w:tc>
        <w:tc>
          <w:tcPr>
            <w:tcW w:w="1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29, 2022</w:t>
            </w:r>
          </w:p>
        </w:tc>
      </w:tr>
      <w:tr>
        <w:trPr>
          <w:trHeight w:val="200"/>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8"/>
        </w:trPr>
        <w:tc>
          <w:tcPr>
            <w:tcW w:w="6040" w:type="dxa"/>
            <w:vAlign w:val="bottom"/>
          </w:tcPr>
          <w:p>
            <w:pPr>
              <w:ind w:left="140"/>
              <w:spacing w:after="0"/>
              <w:rPr>
                <w:sz w:val="20"/>
                <w:szCs w:val="20"/>
                <w:color w:val="auto"/>
              </w:rPr>
            </w:pPr>
            <w:r>
              <w:rPr>
                <w:rFonts w:ascii="Arial" w:cs="Arial" w:eastAsia="Arial" w:hAnsi="Arial"/>
                <w:sz w:val="17"/>
                <w:szCs w:val="17"/>
                <w:color w:val="auto"/>
              </w:rPr>
              <w:t>Accruals and reserves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867</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867</w:t>
            </w:r>
          </w:p>
        </w:tc>
      </w:tr>
      <w:tr>
        <w:trPr>
          <w:trHeight w:val="220"/>
        </w:trPr>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operating loss carryforwards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28,558</w:t>
            </w:r>
          </w:p>
        </w:tc>
      </w:tr>
      <w:tr>
        <w:trPr>
          <w:trHeight w:val="218"/>
        </w:trPr>
        <w:tc>
          <w:tcPr>
            <w:tcW w:w="6040" w:type="dxa"/>
            <w:vAlign w:val="bottom"/>
          </w:tcPr>
          <w:p>
            <w:pPr>
              <w:ind w:left="140"/>
              <w:spacing w:after="0"/>
              <w:rPr>
                <w:sz w:val="20"/>
                <w:szCs w:val="20"/>
                <w:color w:val="auto"/>
              </w:rPr>
            </w:pPr>
            <w:r>
              <w:rPr>
                <w:rFonts w:ascii="Arial" w:cs="Arial" w:eastAsia="Arial" w:hAnsi="Arial"/>
                <w:sz w:val="17"/>
                <w:szCs w:val="17"/>
                <w:color w:val="auto"/>
              </w:rPr>
              <w:t>Stock-based compensation</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880</w:t>
            </w:r>
          </w:p>
        </w:tc>
      </w:tr>
      <w:tr>
        <w:trPr>
          <w:trHeight w:val="220"/>
        </w:trPr>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AMT credit carryforwards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5,611</w:t>
            </w:r>
          </w:p>
        </w:tc>
      </w:tr>
      <w:tr>
        <w:trPr>
          <w:trHeight w:val="218"/>
        </w:trPr>
        <w:tc>
          <w:tcPr>
            <w:tcW w:w="6040" w:type="dxa"/>
            <w:vAlign w:val="bottom"/>
          </w:tcPr>
          <w:p>
            <w:pPr>
              <w:ind w:left="140"/>
              <w:spacing w:after="0"/>
              <w:rPr>
                <w:sz w:val="20"/>
                <w:szCs w:val="20"/>
                <w:color w:val="auto"/>
              </w:rPr>
            </w:pPr>
            <w:r>
              <w:rPr>
                <w:rFonts w:ascii="Arial" w:cs="Arial" w:eastAsia="Arial" w:hAnsi="Arial"/>
                <w:sz w:val="17"/>
                <w:szCs w:val="17"/>
                <w:color w:val="auto"/>
              </w:rPr>
              <w:t>Lease liability</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2,874</w:t>
            </w:r>
          </w:p>
        </w:tc>
      </w:tr>
      <w:tr>
        <w:trPr>
          <w:trHeight w:val="220"/>
        </w:trPr>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Limitations on business interest expense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4,245</w:t>
            </w:r>
          </w:p>
        </w:tc>
      </w:tr>
      <w:tr>
        <w:trPr>
          <w:trHeight w:val="218"/>
        </w:trPr>
        <w:tc>
          <w:tcPr>
            <w:tcW w:w="6040" w:type="dxa"/>
            <w:vAlign w:val="bottom"/>
          </w:tcPr>
          <w:p>
            <w:pPr>
              <w:ind w:left="140"/>
              <w:spacing w:after="0"/>
              <w:rPr>
                <w:sz w:val="20"/>
                <w:szCs w:val="20"/>
                <w:color w:val="auto"/>
              </w:rPr>
            </w:pPr>
            <w:r>
              <w:rPr>
                <w:rFonts w:ascii="Arial" w:cs="Arial" w:eastAsia="Arial" w:hAnsi="Arial"/>
                <w:sz w:val="17"/>
                <w:szCs w:val="17"/>
                <w:color w:val="auto"/>
              </w:rPr>
              <w:t>Goodwill and other indefinite life intangibles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2,745</w:t>
            </w:r>
          </w:p>
        </w:tc>
      </w:tr>
      <w:tr>
        <w:trPr>
          <w:trHeight w:val="220"/>
        </w:trPr>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w:t>
            </w:r>
          </w:p>
        </w:tc>
      </w:tr>
      <w:tr>
        <w:trPr>
          <w:trHeight w:val="211"/>
        </w:trPr>
        <w:tc>
          <w:tcPr>
            <w:tcW w:w="6040" w:type="dxa"/>
            <w:vAlign w:val="bottom"/>
          </w:tcPr>
          <w:p>
            <w:pPr>
              <w:ind w:left="20"/>
              <w:spacing w:after="0"/>
              <w:rPr>
                <w:sz w:val="20"/>
                <w:szCs w:val="20"/>
                <w:color w:val="auto"/>
              </w:rPr>
            </w:pPr>
            <w:r>
              <w:rPr>
                <w:rFonts w:ascii="Arial" w:cs="Arial" w:eastAsia="Arial" w:hAnsi="Arial"/>
                <w:sz w:val="17"/>
                <w:szCs w:val="17"/>
                <w:color w:val="auto"/>
              </w:rPr>
              <w:t>Gross deferred tax assets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45,211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46,530</w:t>
            </w:r>
          </w:p>
        </w:tc>
      </w:tr>
      <w:tr>
        <w:trPr>
          <w:trHeight w:val="220"/>
        </w:trPr>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(35,942)</w:t>
            </w:r>
          </w:p>
        </w:tc>
      </w:tr>
      <w:tr>
        <w:trPr>
          <w:trHeight w:val="211"/>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deferred tax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10,588</w:t>
            </w:r>
          </w:p>
        </w:tc>
      </w:tr>
      <w:tr>
        <w:trPr>
          <w:trHeight w:val="239"/>
        </w:trPr>
        <w:tc>
          <w:tcPr>
            <w:tcW w:w="6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8"/>
        </w:trPr>
        <w:tc>
          <w:tcPr>
            <w:tcW w:w="604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(8,614)</w:t>
            </w:r>
          </w:p>
        </w:tc>
      </w:tr>
      <w:tr>
        <w:trPr>
          <w:trHeight w:val="218"/>
        </w:trPr>
        <w:tc>
          <w:tcPr>
            <w:tcW w:w="6040" w:type="dxa"/>
            <w:vAlign w:val="bottom"/>
          </w:tcPr>
          <w:p>
            <w:pPr>
              <w:ind w:left="140"/>
              <w:spacing w:after="0"/>
              <w:rPr>
                <w:sz w:val="20"/>
                <w:szCs w:val="20"/>
                <w:color w:val="auto"/>
              </w:rPr>
            </w:pPr>
            <w:r>
              <w:rPr>
                <w:rFonts w:ascii="Arial" w:cs="Arial" w:eastAsia="Arial" w:hAnsi="Arial"/>
                <w:sz w:val="17"/>
                <w:szCs w:val="17"/>
                <w:color w:val="auto"/>
              </w:rPr>
              <w:t>Right of use asset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(2,100)</w:t>
            </w:r>
          </w:p>
        </w:tc>
      </w:tr>
      <w:tr>
        <w:trPr>
          <w:trHeight w:val="212"/>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(10,714)</w:t>
            </w:r>
          </w:p>
        </w:tc>
      </w:tr>
      <w:tr>
        <w:trPr>
          <w:trHeight w:val="239"/>
        </w:trPr>
        <w:tc>
          <w:tcPr>
            <w:tcW w:w="60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3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180" w:firstLine="619"/>
        <w:spacing w:after="0" w:line="264" w:lineRule="auto"/>
        <w:rPr>
          <w:sz w:val="20"/>
          <w:szCs w:val="20"/>
          <w:color w:val="auto"/>
        </w:rPr>
      </w:pPr>
      <w:r>
        <w:rPr>
          <w:rFonts w:ascii="Arial" w:cs="Arial" w:eastAsia="Arial" w:hAnsi="Arial"/>
          <w:sz w:val="17"/>
          <w:szCs w:val="17"/>
          <w:color w:val="auto"/>
        </w:rPr>
        <w:t>The effects of this error on our previously reported operations by business segment for the year ended May 29, 2022 as presented in Note 10 - Business Segment Reporting of the audited financial statements reported in the Original Report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4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7"/>
                <w:szCs w:val="17"/>
                <w:color w:val="auto"/>
              </w:rPr>
              <w:t>Lifecore</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auto"/>
              </w:rPr>
              <w:t>Curation Foods</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8"/>
                <w:szCs w:val="18"/>
                <w:color w:val="auto"/>
              </w:rPr>
            </w:pPr>
          </w:p>
        </w:tc>
        <w:tc>
          <w:tcPr>
            <w:tcW w:w="1000" w:type="dxa"/>
            <w:vAlign w:val="bottom"/>
          </w:tcPr>
          <w:p>
            <w:pPr>
              <w:jc w:val="right"/>
              <w:ind w:right="374"/>
              <w:spacing w:after="0"/>
              <w:rPr>
                <w:sz w:val="20"/>
                <w:szCs w:val="20"/>
                <w:color w:val="auto"/>
              </w:rPr>
            </w:pPr>
            <w:r>
              <w:rPr>
                <w:rFonts w:ascii="Arial" w:cs="Arial" w:eastAsia="Arial" w:hAnsi="Arial"/>
                <w:sz w:val="17"/>
                <w:szCs w:val="17"/>
                <w:color w:val="auto"/>
              </w:rPr>
              <w:t>Total</w:t>
            </w:r>
          </w:p>
        </w:tc>
      </w:tr>
      <w:tr>
        <w:trPr>
          <w:trHeight w:val="239"/>
        </w:trPr>
        <w:tc>
          <w:tcPr>
            <w:tcW w:w="57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r>
      <w:tr>
        <w:trPr>
          <w:trHeight w:val="218"/>
        </w:trPr>
        <w:tc>
          <w:tcPr>
            <w:tcW w:w="5740" w:type="dxa"/>
            <w:vAlign w:val="bottom"/>
          </w:tcPr>
          <w:p>
            <w:pPr>
              <w:ind w:left="20"/>
              <w:spacing w:after="0"/>
              <w:rPr>
                <w:sz w:val="20"/>
                <w:szCs w:val="20"/>
                <w:color w:val="auto"/>
              </w:rPr>
            </w:pPr>
            <w:r>
              <w:rPr>
                <w:rFonts w:ascii="Arial" w:cs="Arial" w:eastAsia="Arial" w:hAnsi="Arial"/>
                <w:sz w:val="17"/>
                <w:szCs w:val="17"/>
                <w:color w:val="auto"/>
              </w:rPr>
              <w:t>Net income (loss) from continuing operations, as reported</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16,675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(30,429)</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(32,522)</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(46,276)</w:t>
            </w: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(17,248)</w:t>
            </w:r>
          </w:p>
        </w:tc>
      </w:tr>
      <w:tr>
        <w:trPr>
          <w:trHeight w:val="213"/>
        </w:trPr>
        <w:tc>
          <w:tcPr>
            <w:tcW w:w="5740" w:type="dxa"/>
            <w:vAlign w:val="bottom"/>
          </w:tcPr>
          <w:p>
            <w:pPr>
              <w:ind w:left="20"/>
              <w:spacing w:after="0"/>
              <w:rPr>
                <w:sz w:val="20"/>
                <w:szCs w:val="20"/>
                <w:color w:val="auto"/>
              </w:rPr>
            </w:pPr>
            <w:r>
              <w:rPr>
                <w:rFonts w:ascii="Arial" w:cs="Arial" w:eastAsia="Arial" w:hAnsi="Arial"/>
                <w:sz w:val="17"/>
                <w:szCs w:val="17"/>
                <w:color w:val="auto"/>
              </w:rPr>
              <w:t>Net income (loss) from continuing operations, as restated</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16,675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(47,783)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(32,416)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(63,524)</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5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8"/>
        </w:trPr>
        <w:tc>
          <w:tcPr>
            <w:tcW w:w="5740" w:type="dxa"/>
            <w:vAlign w:val="bottom"/>
          </w:tcPr>
          <w:p>
            <w:pPr>
              <w:ind w:left="20"/>
              <w:spacing w:after="0"/>
              <w:rPr>
                <w:sz w:val="20"/>
                <w:szCs w:val="20"/>
                <w:color w:val="auto"/>
              </w:rPr>
            </w:pPr>
            <w:r>
              <w:rPr>
                <w:rFonts w:ascii="Arial" w:cs="Arial" w:eastAsia="Arial" w:hAnsi="Arial"/>
                <w:sz w:val="17"/>
                <w:szCs w:val="17"/>
                <w:color w:val="auto"/>
              </w:rPr>
              <w:t>Income tax (benefit) expense, as reported</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5,266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(13,831)</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2,726</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(5,839)</w:t>
            </w: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r>
      <w:tr>
        <w:trPr>
          <w:trHeight w:val="213"/>
        </w:trPr>
        <w:tc>
          <w:tcPr>
            <w:tcW w:w="5740" w:type="dxa"/>
            <w:vAlign w:val="bottom"/>
          </w:tcPr>
          <w:p>
            <w:pPr>
              <w:ind w:left="20"/>
              <w:spacing w:after="0"/>
              <w:rPr>
                <w:sz w:val="20"/>
                <w:szCs w:val="20"/>
                <w:color w:val="auto"/>
              </w:rPr>
            </w:pPr>
            <w:r>
              <w:rPr>
                <w:rFonts w:ascii="Arial" w:cs="Arial" w:eastAsia="Arial" w:hAnsi="Arial"/>
                <w:sz w:val="17"/>
                <w:szCs w:val="17"/>
                <w:color w:val="auto"/>
              </w:rPr>
              <w:t>Income tax (benefit) expense, as restated</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5,266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(13,831)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(5,945)</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5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8"/>
        </w:trPr>
        <w:tc>
          <w:tcPr>
            <w:tcW w:w="5740" w:type="dxa"/>
            <w:vAlign w:val="bottom"/>
          </w:tcPr>
          <w:p>
            <w:pPr>
              <w:ind w:left="20"/>
              <w:spacing w:after="0"/>
              <w:rPr>
                <w:sz w:val="20"/>
                <w:szCs w:val="20"/>
                <w:color w:val="auto"/>
              </w:rPr>
            </w:pPr>
            <w:r>
              <w:rPr>
                <w:rFonts w:ascii="Arial" w:cs="Arial" w:eastAsia="Arial" w:hAnsi="Arial"/>
                <w:sz w:val="17"/>
                <w:szCs w:val="17"/>
                <w:color w:val="auto"/>
              </w:rPr>
              <w:t>Identifiable assets, as reported</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213,969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76,948</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4,243</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295,160</w:t>
            </w: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(17,354)</w:t>
            </w:r>
          </w:p>
        </w:tc>
      </w:tr>
      <w:tr>
        <w:trPr>
          <w:trHeight w:val="213"/>
        </w:trPr>
        <w:tc>
          <w:tcPr>
            <w:tcW w:w="5740" w:type="dxa"/>
            <w:vAlign w:val="bottom"/>
          </w:tcPr>
          <w:p>
            <w:pPr>
              <w:ind w:left="20"/>
              <w:spacing w:after="0"/>
              <w:rPr>
                <w:sz w:val="20"/>
                <w:szCs w:val="20"/>
                <w:color w:val="auto"/>
              </w:rPr>
            </w:pPr>
            <w:r>
              <w:rPr>
                <w:rFonts w:ascii="Arial" w:cs="Arial" w:eastAsia="Arial" w:hAnsi="Arial"/>
                <w:sz w:val="17"/>
                <w:szCs w:val="17"/>
                <w:color w:val="auto"/>
              </w:rPr>
              <w:t>Identifiable assets, as restated</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213,969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59,594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4,243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277,806</w:t>
            </w: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830"/>
        </w:trPr>
        <w:tc>
          <w:tcPr>
            <w:tcW w:w="6820" w:type="dxa"/>
            <w:vAlign w:val="bottom"/>
            <w:gridSpan w:val="3"/>
          </w:tcPr>
          <w:p>
            <w:pPr>
              <w:ind w:left="20"/>
              <w:spacing w:after="0"/>
              <w:rPr>
                <w:sz w:val="20"/>
                <w:szCs w:val="20"/>
                <w:color w:val="auto"/>
              </w:rPr>
            </w:pPr>
            <w:r>
              <w:rPr>
                <w:rFonts w:ascii="Arial" w:cs="Arial" w:eastAsia="Arial" w:hAnsi="Arial"/>
                <w:sz w:val="17"/>
                <w:szCs w:val="17"/>
                <w:i w:val="1"/>
                <w:iCs w:val="1"/>
                <w:color w:val="auto"/>
              </w:rPr>
              <w:t>(in million)</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Year Ended</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11"/>
        </w:trPr>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i w:val="1"/>
                <w:iCs w:val="1"/>
                <w:color w:val="auto"/>
              </w:rPr>
              <w:t>As reported</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i w:val="1"/>
                <w:iCs w:val="1"/>
                <w:color w:val="auto"/>
              </w:rPr>
              <w:t>As restated</w:t>
            </w:r>
          </w:p>
        </w:tc>
      </w:tr>
      <w:tr>
        <w:trPr>
          <w:trHeight w:val="213"/>
        </w:trPr>
        <w:tc>
          <w:tcPr>
            <w:tcW w:w="682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7"/>
              </w:rPr>
              <w:t>May 29, 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Adjustment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7"/>
              </w:rPr>
              <w:t>May 29, 2022</w:t>
            </w:r>
          </w:p>
        </w:tc>
      </w:tr>
      <w:tr>
        <w:trPr>
          <w:trHeight w:val="213"/>
        </w:trPr>
        <w:tc>
          <w:tcPr>
            <w:tcW w:w="68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w:t>
            </w:r>
          </w:p>
        </w:tc>
      </w:tr>
      <w:tr>
        <w:trPr>
          <w:trHeight w:val="218"/>
        </w:trPr>
        <w:tc>
          <w:tcPr>
            <w:tcW w:w="6820" w:type="dxa"/>
            <w:vAlign w:val="bottom"/>
            <w:tcBorders>
              <w:bottom w:val="single" w:sz="8" w:color="CCEEFF"/>
            </w:tcBorders>
            <w:gridSpan w:val="3"/>
          </w:tcPr>
          <w:p>
            <w:pPr>
              <w:ind w:left="100"/>
              <w:spacing w:after="0"/>
              <w:rPr>
                <w:sz w:val="20"/>
                <w:szCs w:val="20"/>
                <w:color w:val="auto"/>
              </w:rPr>
            </w:pPr>
            <w:r>
              <w:rPr>
                <w:rFonts w:ascii="Arial" w:cs="Arial" w:eastAsia="Arial" w:hAnsi="Arial"/>
                <w:sz w:val="17"/>
                <w:szCs w:val="17"/>
                <w:color w:val="auto"/>
              </w:rPr>
              <w:t>Mexico</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38"/>
        </w:trPr>
        <w:tc>
          <w:tcPr>
            <w:tcW w:w="6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effects of this error on our previously reported quarterly consolidated financial information as of May 29, 2022 as presented in Note 11 - Quarterly Consolidated Financial Information (unaudited) of the audited financial statements reported in the Original Report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i w:val="1"/>
                <w:iCs w:val="1"/>
                <w:color w:val="auto"/>
              </w:rPr>
              <w:t>As reported</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7"/>
                <w:szCs w:val="17"/>
                <w:i w:val="1"/>
                <w:iCs w:val="1"/>
                <w:color w:val="auto"/>
                <w:w w:val="90"/>
              </w:rPr>
              <w:t>As reported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i w:val="1"/>
                <w:iCs w:val="1"/>
                <w:color w:val="auto"/>
              </w:rPr>
              <w:t>As restated</w:t>
            </w:r>
          </w:p>
        </w:tc>
        <w:tc>
          <w:tcPr>
            <w:tcW w:w="220" w:type="dxa"/>
            <w:vAlign w:val="bottom"/>
          </w:tcPr>
          <w:p>
            <w:pPr>
              <w:spacing w:after="0"/>
              <w:rPr>
                <w:sz w:val="18"/>
                <w:szCs w:val="18"/>
                <w:color w:val="auto"/>
              </w:rPr>
            </w:pPr>
          </w:p>
        </w:tc>
        <w:tc>
          <w:tcPr>
            <w:tcW w:w="1180" w:type="dxa"/>
            <w:vAlign w:val="bottom"/>
          </w:tcPr>
          <w:p>
            <w:pPr>
              <w:jc w:val="right"/>
              <w:ind w:right="234"/>
              <w:spacing w:after="0"/>
              <w:rPr>
                <w:sz w:val="20"/>
                <w:szCs w:val="20"/>
                <w:color w:val="auto"/>
              </w:rPr>
            </w:pPr>
            <w:r>
              <w:rPr>
                <w:rFonts w:ascii="Arial" w:cs="Arial" w:eastAsia="Arial" w:hAnsi="Arial"/>
                <w:sz w:val="17"/>
                <w:szCs w:val="17"/>
                <w:i w:val="1"/>
                <w:iCs w:val="1"/>
                <w:color w:val="auto"/>
                <w:w w:val="97"/>
              </w:rPr>
              <w:t>As restated</w:t>
            </w:r>
          </w:p>
        </w:tc>
      </w:tr>
      <w:tr>
        <w:trPr>
          <w:trHeight w:val="220"/>
        </w:trPr>
        <w:tc>
          <w:tcPr>
            <w:tcW w:w="3840" w:type="dxa"/>
            <w:vAlign w:val="bottom"/>
          </w:tcPr>
          <w:p>
            <w:pPr>
              <w:ind w:left="1300"/>
              <w:spacing w:after="0"/>
              <w:rPr>
                <w:sz w:val="20"/>
                <w:szCs w:val="20"/>
                <w:color w:val="auto"/>
              </w:rPr>
            </w:pPr>
            <w:r>
              <w:rPr>
                <w:rFonts w:ascii="Arial" w:cs="Arial" w:eastAsia="Arial" w:hAnsi="Arial"/>
                <w:sz w:val="17"/>
                <w:szCs w:val="17"/>
                <w:color w:val="auto"/>
              </w:rPr>
              <w:t>Fiscal Year 2022</w:t>
            </w:r>
          </w:p>
        </w:tc>
        <w:tc>
          <w:tcPr>
            <w:tcW w:w="20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color w:val="auto"/>
              </w:rPr>
              <w:t>4th Quarter</w:t>
            </w:r>
          </w:p>
        </w:tc>
        <w:tc>
          <w:tcPr>
            <w:tcW w:w="20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color w:val="auto"/>
                <w:w w:val="94"/>
              </w:rPr>
              <w:t>Annual</w:t>
            </w:r>
          </w:p>
        </w:tc>
        <w:tc>
          <w:tcPr>
            <w:tcW w:w="20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color w:val="auto"/>
              </w:rPr>
              <w:t>Adjustment</w:t>
            </w:r>
          </w:p>
        </w:tc>
        <w:tc>
          <w:tcPr>
            <w:tcW w:w="20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color w:val="auto"/>
              </w:rPr>
              <w:t>4th Quarter</w:t>
            </w:r>
          </w:p>
        </w:tc>
        <w:tc>
          <w:tcPr>
            <w:tcW w:w="220" w:type="dxa"/>
            <w:vAlign w:val="bottom"/>
          </w:tcPr>
          <w:p>
            <w:pPr>
              <w:spacing w:after="0"/>
              <w:rPr>
                <w:sz w:val="19"/>
                <w:szCs w:val="19"/>
                <w:color w:val="auto"/>
              </w:rPr>
            </w:pPr>
          </w:p>
        </w:tc>
        <w:tc>
          <w:tcPr>
            <w:tcW w:w="1180" w:type="dxa"/>
            <w:vAlign w:val="bottom"/>
          </w:tcPr>
          <w:p>
            <w:pPr>
              <w:jc w:val="right"/>
              <w:ind w:right="354"/>
              <w:spacing w:after="0"/>
              <w:rPr>
                <w:sz w:val="20"/>
                <w:szCs w:val="20"/>
                <w:color w:val="auto"/>
              </w:rPr>
            </w:pPr>
            <w:r>
              <w:rPr>
                <w:rFonts w:ascii="Arial" w:cs="Arial" w:eastAsia="Arial" w:hAnsi="Arial"/>
                <w:sz w:val="17"/>
                <w:szCs w:val="17"/>
                <w:color w:val="auto"/>
              </w:rPr>
              <w:t>Annual</w:t>
            </w:r>
          </w:p>
        </w:tc>
      </w:tr>
      <w:tr>
        <w:trPr>
          <w:trHeight w:val="21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income from continuing operations</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(46,276)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(51,684)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(63,524)</w:t>
            </w:r>
          </w:p>
        </w:tc>
      </w:tr>
      <w:tr>
        <w:trPr>
          <w:trHeight w:val="168"/>
        </w:trPr>
        <w:tc>
          <w:tcPr>
            <w:tcW w:w="3840" w:type="dxa"/>
            <w:vAlign w:val="bottom"/>
          </w:tcPr>
          <w:p>
            <w:pPr>
              <w:ind w:left="20"/>
              <w:spacing w:after="0" w:line="168" w:lineRule="exact"/>
              <w:rPr>
                <w:sz w:val="20"/>
                <w:szCs w:val="20"/>
                <w:color w:val="auto"/>
              </w:rPr>
            </w:pPr>
            <w:r>
              <w:rPr>
                <w:rFonts w:ascii="Arial" w:cs="Arial" w:eastAsia="Arial" w:hAnsi="Arial"/>
                <w:sz w:val="17"/>
                <w:szCs w:val="17"/>
                <w:color w:val="auto"/>
              </w:rPr>
              <w:t>Net (loss) income per basic and diluted share from</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7"/>
                <w:szCs w:val="17"/>
                <w:color w:val="auto"/>
              </w:rPr>
              <w:t>continuing operations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(0.59)</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(2.16)</w:t>
            </w:r>
          </w:p>
        </w:tc>
      </w:tr>
    </w:tbl>
    <w:p>
      <w:pPr>
        <w:spacing w:after="0" w:line="200" w:lineRule="exact"/>
        <w:rPr>
          <w:sz w:val="20"/>
          <w:szCs w:val="20"/>
          <w:color w:val="auto"/>
        </w:rPr>
      </w:pPr>
    </w:p>
    <w:p>
      <w:pPr>
        <w:spacing w:after="0" w:line="33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5"/>
          <w:szCs w:val="15"/>
          <w:b w:val="1"/>
          <w:bCs w:val="1"/>
          <w:color w:val="auto"/>
        </w:rPr>
        <w:t>Investment in Non-public Company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Windset</w:t>
      </w:r>
    </w:p>
    <w:p>
      <w:pPr>
        <w:spacing w:after="0" w:line="17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February 15, 2011, Curation Foods entered into a share purchase agreement (the “Windset Purchase Agreement”) with Windset. Pursuant to the Windset Purchase Agreement, Curation Foods purchased from Windset 150,000 Senior A preferred shares for $15.0 million and 201 common shares for $201. On July 15, 2014, Curation Foods increased its investment in Windset by purchasing from the Newell Capital Corporation an additional 68 common shares and 51,211 junior preferred shares of Windset for $11.0 million. After this purchase, the Company’s common shares represented a 26.9% ownership interest in Windset. The Senior A preferred shares yielded a cash dividend of 7.5% annually. The dividend was payable within 90 days of each anniversary of the execution of the Windset Purchase Agreement. The non-voting junior preferred stock did not yield a dividend unless declared by the Board of Directors of Windset and no such dividend has been declared.</w:t>
      </w:r>
    </w:p>
    <w:p>
      <w:pPr>
        <w:spacing w:after="0" w:line="15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Shareholders’ Agreement between Curation Foods and Windset, as amended on March 15, 2017, included a put and call option (the “Put and Call Option”), which was exercisable on or after March 31, 2022, whereby Curation Foods could exercise the put to sell its common, Senior A preferred shares, and junior preferred shares to Windset, or Windset could exercise the call to purchase those shares from Curation Foods, in either case, at a price equal to 26.9% of the fair market value of Windset’s common shares, plus the liquidation value of the preferred shares of $20.1 million ($15.0 million for the Senior A preferred shares and $5.1 million for the junior preferred shares). Under the terms of the arrangement with Windset, the Company was entitled to designate one of five members on the Board of Directors of Windset.</w:t>
      </w:r>
    </w:p>
    <w:p>
      <w:pPr>
        <w:spacing w:after="0" w:line="14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October 29, 2014, Curation Foods further increased its investment in Windset by purchasing 70,000 shares of Senior B preferred shares for $7.0 million. The Senior B preferred shares paid an annual dividend of 7.5% on the amount outstanding at each anniversary date of the Windset Purchase Agreement. The Senior B preferred shares purchased by Curation Foods had a put feature whereby Curation Foods could sell back to Windset the Senior B preferred shares for $7.0 million at any time after October 29, 2017.</w:t>
      </w:r>
    </w:p>
    <w:p>
      <w:pPr>
        <w:spacing w:after="0" w:line="13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During the fourth quarter of fiscal year 2019, the Company exercised its put feature and sold the 70,000 shares of Senior B preferred shares back to Windset for $7.0 million.</w:t>
      </w:r>
    </w:p>
    <w:p>
      <w:pPr>
        <w:spacing w:after="0" w:line="13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investment in Windset does not qualify for equity method accounting as the investment does not meet the criteria of in-substance common stock due to returns through the annual dividend on the non-voting senior preferred shares that were not available to the common stock holders. As the put and call options required all of the various shares to be put or called in equal proportions, the Company has deemed that the investment, in substance, should be treated as a single security for purposes of accounting.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5" w:name="page76"/>
    <w:bookmarkEnd w:id="75"/>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fair value of the Company’s investment in Windset was determined utilizing the Windset Purchase Agreement’s put/call calculation for value and a discounted cash flow model based on projections developed by Windset that were reviewed by Landec, and considers the put and call conversion options. These features impact the duration of the cash flows utilized to derive the estimated fair values of the investment. These two discounted cash flow models' estimate for fair value are then weighted. Assumptions included in these discounted cash flow models are evaluated quarterly based on Windset’s actual and projected operating results to determine the change in fair value.</w:t>
      </w:r>
    </w:p>
    <w:p>
      <w:pPr>
        <w:spacing w:after="0" w:line="14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During the fiscal years ended May 30, 2021 and May 31, 2020, the Company recorded $1.1 million in dividend income, respectively, which is included in loss from discontinued operations in the accompanying Consolidated Statements of Operations. The decrease in the fair market value of the Company’s investment in Windset for the fiscal years ended May 30, 2021 and May 31, 2020 was $11.8 million and $4.2 million, respectively, and is included in loss from discontinued operations in the accompanying Consolidated Statements of Operations.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June 1, 2021, the Company and Curation Foods entered into and closed a Share Purchase Agreement (the “Purchase Agreement”) with Newell Capital Corporation and Newell Brothers Investment 2 Corp., as Purchasers (the “Purchasers”) and Windset, pursuant to which Curation Foods sold all of its equity interests of Windset to the Purchasers in exchange for an aggregate purchase price of $45.1 million.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Pr>
          <w:p>
            <w:pPr>
              <w:spacing w:after="0"/>
              <w:rPr>
                <w:sz w:val="20"/>
                <w:szCs w:val="20"/>
                <w:color w:val="auto"/>
              </w:rPr>
            </w:pPr>
            <w:r>
              <w:rPr>
                <w:rFonts w:ascii="Arial" w:cs="Arial" w:eastAsia="Arial" w:hAnsi="Arial"/>
                <w:sz w:val="17"/>
                <w:szCs w:val="17"/>
                <w:b w:val="1"/>
                <w:bCs w:val="1"/>
                <w:color w:val="auto"/>
              </w:rPr>
              <w:t>3.  Property and Equipment, As Restated</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6480" w:type="dxa"/>
            <w:vAlign w:val="bottom"/>
          </w:tcPr>
          <w:p>
            <w:pPr>
              <w:ind w:left="620"/>
              <w:spacing w:after="0"/>
              <w:rPr>
                <w:sz w:val="20"/>
                <w:szCs w:val="20"/>
                <w:color w:val="auto"/>
              </w:rPr>
            </w:pPr>
            <w:r>
              <w:rPr>
                <w:rFonts w:ascii="Arial" w:cs="Arial" w:eastAsia="Arial" w:hAnsi="Arial"/>
                <w:sz w:val="17"/>
                <w:szCs w:val="17"/>
                <w:color w:val="auto"/>
              </w:rPr>
              <w:t>Property and equipment consists of the following (in thousands):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4"/>
          </w:tcPr>
          <w:p>
            <w:pPr>
              <w:jc w:val="right"/>
              <w:ind w:right="954"/>
              <w:spacing w:after="0"/>
              <w:rPr>
                <w:sz w:val="20"/>
                <w:szCs w:val="20"/>
                <w:color w:val="auto"/>
              </w:rPr>
            </w:pPr>
            <w:r>
              <w:rPr>
                <w:rFonts w:ascii="Arial" w:cs="Arial" w:eastAsia="Arial" w:hAnsi="Arial"/>
                <w:sz w:val="17"/>
                <w:szCs w:val="17"/>
                <w:color w:val="auto"/>
              </w:rPr>
              <w:t>Year Ended</w:t>
            </w:r>
          </w:p>
        </w:tc>
        <w:tc>
          <w:tcPr>
            <w:tcW w:w="0" w:type="dxa"/>
            <w:vAlign w:val="bottom"/>
          </w:tcPr>
          <w:p>
            <w:pPr>
              <w:spacing w:after="0"/>
              <w:rPr>
                <w:sz w:val="1"/>
                <w:szCs w:val="1"/>
                <w:color w:val="auto"/>
              </w:rPr>
            </w:pPr>
          </w:p>
        </w:tc>
      </w:tr>
      <w:tr>
        <w:trPr>
          <w:trHeight w:val="40"/>
        </w:trPr>
        <w:tc>
          <w:tcPr>
            <w:tcW w:w="6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18"/>
                <w:szCs w:val="18"/>
                <w:color w:val="auto"/>
              </w:rPr>
            </w:pPr>
          </w:p>
        </w:tc>
        <w:tc>
          <w:tcPr>
            <w:tcW w:w="1060" w:type="dxa"/>
            <w:vAlign w:val="bottom"/>
            <w:gridSpan w:val="2"/>
            <w:vMerge w:val="restart"/>
          </w:tcPr>
          <w:p>
            <w:pPr>
              <w:jc w:val="right"/>
              <w:ind w:right="54"/>
              <w:spacing w:after="0"/>
              <w:rPr>
                <w:sz w:val="20"/>
                <w:szCs w:val="20"/>
                <w:color w:val="auto"/>
              </w:rPr>
            </w:pPr>
            <w:r>
              <w:rPr>
                <w:rFonts w:ascii="Arial" w:cs="Arial" w:eastAsia="Arial" w:hAnsi="Arial"/>
                <w:sz w:val="17"/>
                <w:szCs w:val="17"/>
                <w:color w:val="auto"/>
              </w:rPr>
              <w:t>Years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7"/>
                <w:szCs w:val="17"/>
                <w:i w:val="1"/>
                <w:iCs w:val="1"/>
                <w:color w:val="auto"/>
                <w:w w:val="88"/>
              </w:rPr>
              <w:t>As restated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3"/>
              </w:rPr>
              <w:t>May 29, 2022</w:t>
            </w:r>
          </w:p>
        </w:tc>
        <w:tc>
          <w:tcPr>
            <w:tcW w:w="160" w:type="dxa"/>
            <w:vAlign w:val="bottom"/>
          </w:tcPr>
          <w:p>
            <w:pPr>
              <w:spacing w:after="0"/>
              <w:rPr>
                <w:sz w:val="4"/>
                <w:szCs w:val="4"/>
                <w:color w:val="auto"/>
              </w:rPr>
            </w:pPr>
          </w:p>
        </w:tc>
        <w:tc>
          <w:tcPr>
            <w:tcW w:w="1240" w:type="dxa"/>
            <w:vAlign w:val="bottom"/>
            <w:vMerge w:val="restart"/>
          </w:tcPr>
          <w:p>
            <w:pPr>
              <w:jc w:val="right"/>
              <w:ind w:right="134"/>
              <w:spacing w:after="0"/>
              <w:rPr>
                <w:sz w:val="20"/>
                <w:szCs w:val="20"/>
                <w:color w:val="auto"/>
              </w:rPr>
            </w:pPr>
            <w:r>
              <w:rPr>
                <w:rFonts w:ascii="Arial" w:cs="Arial" w:eastAsia="Arial" w:hAnsi="Arial"/>
                <w:sz w:val="17"/>
                <w:szCs w:val="17"/>
                <w:color w:val="auto"/>
                <w:w w:val="97"/>
              </w:rPr>
              <w:t>May 30, 2021</w:t>
            </w:r>
          </w:p>
        </w:tc>
        <w:tc>
          <w:tcPr>
            <w:tcW w:w="0" w:type="dxa"/>
            <w:vAlign w:val="bottom"/>
          </w:tcPr>
          <w:p>
            <w:pPr>
              <w:spacing w:after="0"/>
              <w:rPr>
                <w:sz w:val="1"/>
                <w:szCs w:val="1"/>
                <w:color w:val="auto"/>
              </w:rPr>
            </w:pPr>
          </w:p>
        </w:tc>
      </w:tr>
      <w:tr>
        <w:trPr>
          <w:trHeight w:val="224"/>
        </w:trPr>
        <w:tc>
          <w:tcPr>
            <w:tcW w:w="64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Useful Life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6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3,670</w:t>
            </w:r>
          </w:p>
        </w:tc>
        <w:tc>
          <w:tcPr>
            <w:tcW w:w="0" w:type="dxa"/>
            <w:vAlign w:val="bottom"/>
          </w:tcPr>
          <w:p>
            <w:pPr>
              <w:spacing w:after="0"/>
              <w:rPr>
                <w:sz w:val="1"/>
                <w:szCs w:val="1"/>
                <w:color w:val="auto"/>
              </w:rPr>
            </w:pPr>
          </w:p>
        </w:tc>
      </w:tr>
      <w:tr>
        <w:trPr>
          <w:trHeight w:val="218"/>
        </w:trPr>
        <w:tc>
          <w:tcPr>
            <w:tcW w:w="6480" w:type="dxa"/>
            <w:vAlign w:val="bottom"/>
          </w:tcPr>
          <w:p>
            <w:pPr>
              <w:ind w:left="20"/>
              <w:spacing w:after="0"/>
              <w:rPr>
                <w:sz w:val="20"/>
                <w:szCs w:val="20"/>
                <w:color w:val="auto"/>
              </w:rPr>
            </w:pPr>
            <w:r>
              <w:rPr>
                <w:rFonts w:ascii="Arial" w:cs="Arial" w:eastAsia="Arial" w:hAnsi="Arial"/>
                <w:sz w:val="17"/>
                <w:szCs w:val="17"/>
                <w:color w:val="auto"/>
              </w:rPr>
              <w:t>Buildings</w:t>
            </w:r>
          </w:p>
        </w:tc>
        <w:tc>
          <w:tcPr>
            <w:tcW w:w="600" w:type="dxa"/>
            <w:vAlign w:val="bottom"/>
          </w:tcPr>
          <w:p>
            <w:pPr>
              <w:jc w:val="right"/>
              <w:spacing w:after="0"/>
              <w:rPr>
                <w:sz w:val="20"/>
                <w:szCs w:val="20"/>
                <w:color w:val="auto"/>
              </w:rPr>
            </w:pPr>
            <w:r>
              <w:rPr>
                <w:rFonts w:ascii="Arial" w:cs="Arial" w:eastAsia="Arial" w:hAnsi="Arial"/>
                <w:sz w:val="17"/>
                <w:szCs w:val="17"/>
                <w:color w:val="auto"/>
              </w:rPr>
              <w:t>15</w:t>
            </w: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w w:val="94"/>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58,359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47,880</w:t>
            </w:r>
          </w:p>
        </w:tc>
        <w:tc>
          <w:tcPr>
            <w:tcW w:w="0" w:type="dxa"/>
            <w:vAlign w:val="bottom"/>
          </w:tcPr>
          <w:p>
            <w:pPr>
              <w:spacing w:after="0"/>
              <w:rPr>
                <w:sz w:val="1"/>
                <w:szCs w:val="1"/>
                <w:color w:val="auto"/>
              </w:rPr>
            </w:pPr>
          </w:p>
        </w:tc>
      </w:tr>
      <w:tr>
        <w:trPr>
          <w:trHeight w:val="220"/>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6,465</w:t>
            </w:r>
          </w:p>
        </w:tc>
        <w:tc>
          <w:tcPr>
            <w:tcW w:w="0" w:type="dxa"/>
            <w:vAlign w:val="bottom"/>
          </w:tcPr>
          <w:p>
            <w:pPr>
              <w:spacing w:after="0"/>
              <w:rPr>
                <w:sz w:val="1"/>
                <w:szCs w:val="1"/>
                <w:color w:val="auto"/>
              </w:rPr>
            </w:pPr>
          </w:p>
        </w:tc>
      </w:tr>
      <w:tr>
        <w:trPr>
          <w:trHeight w:val="218"/>
        </w:trPr>
        <w:tc>
          <w:tcPr>
            <w:tcW w:w="6480" w:type="dxa"/>
            <w:vAlign w:val="bottom"/>
          </w:tcPr>
          <w:p>
            <w:pPr>
              <w:ind w:left="20"/>
              <w:spacing w:after="0"/>
              <w:rPr>
                <w:sz w:val="20"/>
                <w:szCs w:val="20"/>
                <w:color w:val="auto"/>
              </w:rPr>
            </w:pPr>
            <w:r>
              <w:rPr>
                <w:rFonts w:ascii="Arial" w:cs="Arial" w:eastAsia="Arial" w:hAnsi="Arial"/>
                <w:sz w:val="17"/>
                <w:szCs w:val="17"/>
                <w:color w:val="auto"/>
              </w:rPr>
              <w:t>Computers, capitalized software, machinery, equipment and autos</w:t>
            </w:r>
          </w:p>
        </w:tc>
        <w:tc>
          <w:tcPr>
            <w:tcW w:w="600" w:type="dxa"/>
            <w:vAlign w:val="bottom"/>
          </w:tcPr>
          <w:p>
            <w:pPr>
              <w:jc w:val="right"/>
              <w:spacing w:after="0"/>
              <w:rPr>
                <w:sz w:val="20"/>
                <w:szCs w:val="20"/>
                <w:color w:val="auto"/>
              </w:rPr>
            </w:pPr>
            <w:r>
              <w:rPr>
                <w:rFonts w:ascii="Arial" w:cs="Arial" w:eastAsia="Arial" w:hAnsi="Arial"/>
                <w:sz w:val="17"/>
                <w:szCs w:val="17"/>
                <w:color w:val="auto"/>
              </w:rPr>
              <w:t>3</w:t>
            </w: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w w:val="94"/>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74,974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71,832</w:t>
            </w:r>
          </w:p>
        </w:tc>
        <w:tc>
          <w:tcPr>
            <w:tcW w:w="0" w:type="dxa"/>
            <w:vAlign w:val="bottom"/>
          </w:tcPr>
          <w:p>
            <w:pPr>
              <w:spacing w:after="0"/>
              <w:rPr>
                <w:sz w:val="1"/>
                <w:szCs w:val="1"/>
                <w:color w:val="auto"/>
              </w:rPr>
            </w:pPr>
          </w:p>
        </w:tc>
      </w:tr>
      <w:tr>
        <w:trPr>
          <w:trHeight w:val="220"/>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2,513</w:t>
            </w:r>
          </w:p>
        </w:tc>
        <w:tc>
          <w:tcPr>
            <w:tcW w:w="0" w:type="dxa"/>
            <w:vAlign w:val="bottom"/>
          </w:tcPr>
          <w:p>
            <w:pPr>
              <w:spacing w:after="0"/>
              <w:rPr>
                <w:sz w:val="1"/>
                <w:szCs w:val="1"/>
                <w:color w:val="auto"/>
              </w:rPr>
            </w:pPr>
          </w:p>
        </w:tc>
      </w:tr>
      <w:tr>
        <w:trPr>
          <w:trHeight w:val="218"/>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Construction in process</w:t>
            </w:r>
          </w:p>
        </w:tc>
        <w:tc>
          <w:tcPr>
            <w:tcW w:w="6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31,383</w:t>
            </w:r>
          </w:p>
        </w:tc>
        <w:tc>
          <w:tcPr>
            <w:tcW w:w="0" w:type="dxa"/>
            <w:vAlign w:val="bottom"/>
          </w:tcPr>
          <w:p>
            <w:pPr>
              <w:spacing w:after="0"/>
              <w:rPr>
                <w:sz w:val="1"/>
                <w:szCs w:val="1"/>
                <w:color w:val="auto"/>
              </w:rPr>
            </w:pPr>
          </w:p>
        </w:tc>
      </w:tr>
      <w:tr>
        <w:trPr>
          <w:trHeight w:val="213"/>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Gross property and equipment</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167,071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163,743</w:t>
            </w:r>
          </w:p>
        </w:tc>
        <w:tc>
          <w:tcPr>
            <w:tcW w:w="0" w:type="dxa"/>
            <w:vAlign w:val="bottom"/>
          </w:tcPr>
          <w:p>
            <w:pPr>
              <w:spacing w:after="0"/>
              <w:rPr>
                <w:sz w:val="1"/>
                <w:szCs w:val="1"/>
                <w:color w:val="auto"/>
              </w:rPr>
            </w:pPr>
          </w:p>
        </w:tc>
      </w:tr>
      <w:tr>
        <w:trPr>
          <w:trHeight w:val="218"/>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6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(43,457)</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6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120,286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Depreciation and amortization expense for property and equipment for the fiscal years ended May 29, 2022, May 30, 2021 and May 31, 2020 was $9.3 million, $7.2 million and $6.9 million, respectively. Amortization related to finance leases, which is included in depreciation expense, was $0.1 million for the fiscal years ended May 29, 2022, May 30, 2021, and May 31, 2020.</w:t>
      </w:r>
    </w:p>
    <w:p>
      <w:pPr>
        <w:spacing w:after="0" w:line="14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During fiscal years 2022, 2021 and 2020, the Company capitalized $0.3 million, $0.4 million, and $0.8 million in software development costs, respectively. Amortization related to capitalized software was $0.5 million, $0.4 million, and $0.3 million for fiscal years ended May 29, 2022, May 30, 2021 and May 31, 2020, respectively. The unamortized computer software costs as of May 29, 2022 and May 30, 2021 were $1.9 million and $1.9 million, respectively. Capitalized interest was $0.4 million, $0.3 million, and $0.4 million for fiscal years ended May 29, 2022, May 30, 2021 and May 31, 2020, respectively.</w:t>
      </w:r>
    </w:p>
    <w:p>
      <w:pPr>
        <w:spacing w:after="0" w:line="125"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As disclosed in Note 1 - Correction of Error in Previously Reported Fiscal Year 2022 Annual Financial Statements, the Company is restating its previously issued financial statements to record an impairment of property and equipment related to Yucatan of $11.9 million, which has been recorded in Impairment of goodwill and long-lived and indefinite-lived assets in the accompanying Consolidated Statements of Operations for the year ended May 29, 2022.</w:t>
      </w:r>
    </w:p>
    <w:p>
      <w:pPr>
        <w:spacing w:after="0" w:line="1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 xml:space="preserve">As disclosed in Note 15, an impairment of property and equipment related to the </w:t>
      </w:r>
      <w:r>
        <w:rPr>
          <w:rFonts w:ascii="Arial" w:cs="Arial" w:eastAsia="Arial" w:hAnsi="Arial"/>
          <w:sz w:val="17"/>
          <w:szCs w:val="17"/>
          <w:i w:val="1"/>
          <w:iCs w:val="1"/>
          <w:color w:val="auto"/>
        </w:rPr>
        <w:t>O</w:t>
      </w:r>
      <w:r>
        <w:rPr>
          <w:rFonts w:ascii="Arial" w:cs="Arial" w:eastAsia="Arial" w:hAnsi="Arial"/>
          <w:sz w:val="17"/>
          <w:szCs w:val="17"/>
          <w:color w:val="auto"/>
        </w:rPr>
        <w:t xml:space="preserve"> reporting unit of $1.3 million was recorded in Selling, general and administrative expenses in the accompanying Consolidated Statements of Operations for the year ended May 31, 2020. As disclosed in Note 13, an impairment of property and equipment related to the Curation Foods Santa</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6" w:name="page77"/>
    <w:bookmarkEnd w:id="76"/>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Maria Office leasehold improvements of $3.7 million was recorded in Restructuring costs in the accompanying Consolidated Statements of Operations for the year ended May 29, 2022.</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Held for Sale</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June 2019, the Company designated the Santa Maria office as the Curation Foods headquarters, and decided to close and put up for sale the Curation Foods office in San Rafael, California. During the fiscal year ended May 31, 2020, the Company closed escrow on the San Rafael property and recognized a $0.4 million impairment loss, which is included in restructuring costs within the Consolidated Statements of Operations. The Company received net cash proceeds of $2.4 million in connection with the sale.</w:t>
      </w:r>
    </w:p>
    <w:p>
      <w:pPr>
        <w:spacing w:after="0" w:line="12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January 2020, the Company decided to seek to divest its Curation Foods salad dressing plant in Ontario, California. During the fiscal year ended May 31, 2020, the Company recognized a $10.9 million impairment loss, which is included in Loss from discontinued operations within the Consolidated Statements of Operations. In fiscal year 2021, the Company sold its interest in Ontario. The Company received net cash proceeds of $4.9 million in connection with the sale and recorded a gain of $2.8 million during the fiscal year ended May 30, 2021, which is included in Loss from discontinued operations within the Consolidated Statements of Operations.</w:t>
      </w:r>
    </w:p>
    <w:p>
      <w:pPr>
        <w:spacing w:after="0" w:line="13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June 2020 the Board of Directors approved a plan to close Curation Foods’ underutilized manufacturing operations in Hanover, Pennsylvania (“Hanover”), sell the building and assets related thereto, and consolidate its operations into its manufacturing facilities in Guadalupe, California and Bowling Green, Ohio. In the first quarter of fiscal year 2021, the Company recognized an $8.8 million impairment loss, which is included in Loss from discontinued operations within the Consolidated Statements of Operations. During the second quarter of fiscal year 2021, the Company sold the Hanover building and assets related thereto for net proceeds of $8.0 million, no gain or loss was recorded upon sale.</w:t>
      </w:r>
    </w:p>
    <w:p>
      <w:pPr>
        <w:spacing w:after="0" w:line="13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May 2021 the Board of Directors approved a plan to sell Curation Foods’ Rock Hill, South Carolina distribution facility. The $0.5 million carrying value of this asset is included in Current assets, discontinued operations on the Consolidated Balance Sheets as of May 30, 2021, and was classified as an asset held for sale. There was no impairment recorded in fiscal year 2021. The asset was sold in fiscal year 2022 for gross proceeds of $1.1 million.</w:t>
      </w:r>
    </w:p>
    <w:p>
      <w:pPr>
        <w:spacing w:after="0" w:line="10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May 2022 the Board of Directors approved a plan to sell the assets of Curation Foods’ BreatheWay packaging technology business. The $1.0 million carrying value of these assets ($0.9 million of inventory and $0.1 million net book value of property and equipment) are included in Prepaid expenses and other current assets on the Consolidated Balance Sheets as of May 29, 2022, and were classified as assets held for sale. There was no impairment recorded in fiscal year 2022. These assets were sold in fiscal year 2023 for gross proceeds of $3.2 million.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Pr>
          <w:p>
            <w:pPr>
              <w:spacing w:after="0"/>
              <w:rPr>
                <w:sz w:val="20"/>
                <w:szCs w:val="20"/>
                <w:color w:val="auto"/>
              </w:rPr>
            </w:pPr>
            <w:r>
              <w:rPr>
                <w:rFonts w:ascii="Arial" w:cs="Arial" w:eastAsia="Arial" w:hAnsi="Arial"/>
                <w:sz w:val="17"/>
                <w:szCs w:val="17"/>
                <w:b w:val="1"/>
                <w:bCs w:val="1"/>
                <w:color w:val="auto"/>
              </w:rPr>
              <w:t>4.  Goodwill and Intangible Assets, As Restated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74"/>
        </w:trPr>
        <w:tc>
          <w:tcPr>
            <w:tcW w:w="8000" w:type="dxa"/>
            <w:vAlign w:val="bottom"/>
          </w:tcPr>
          <w:p>
            <w:pPr>
              <w:spacing w:after="0"/>
              <w:rPr>
                <w:sz w:val="20"/>
                <w:szCs w:val="20"/>
                <w:color w:val="auto"/>
              </w:rPr>
            </w:pPr>
            <w:r>
              <w:rPr>
                <w:rFonts w:ascii="Arial" w:cs="Arial" w:eastAsia="Arial" w:hAnsi="Arial"/>
                <w:sz w:val="17"/>
                <w:szCs w:val="17"/>
                <w:i w:val="1"/>
                <w:iCs w:val="1"/>
                <w:color w:val="auto"/>
              </w:rPr>
              <w:t>Goodwill</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87"/>
        </w:trPr>
        <w:tc>
          <w:tcPr>
            <w:tcW w:w="8000" w:type="dxa"/>
            <w:vAlign w:val="bottom"/>
          </w:tcPr>
          <w:p>
            <w:pPr>
              <w:ind w:left="620"/>
              <w:spacing w:after="0"/>
              <w:rPr>
                <w:sz w:val="20"/>
                <w:szCs w:val="20"/>
                <w:color w:val="auto"/>
              </w:rPr>
            </w:pPr>
            <w:r>
              <w:rPr>
                <w:rFonts w:ascii="Arial" w:cs="Arial" w:eastAsia="Arial" w:hAnsi="Arial"/>
                <w:sz w:val="17"/>
                <w:szCs w:val="17"/>
                <w:color w:val="auto"/>
                <w:w w:val="95"/>
              </w:rPr>
              <w:t>The following table presents the changes in goodwill during fiscal 2022 and fiscal 2021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3"/>
        </w:trPr>
        <w:tc>
          <w:tcPr>
            <w:tcW w:w="80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2021</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center"/>
              <w:ind w:left="494"/>
              <w:spacing w:after="0"/>
              <w:rPr>
                <w:sz w:val="20"/>
                <w:szCs w:val="20"/>
                <w:color w:val="auto"/>
              </w:rPr>
            </w:pPr>
            <w:r>
              <w:rPr>
                <w:rFonts w:ascii="Arial" w:cs="Arial" w:eastAsia="Arial" w:hAnsi="Arial"/>
                <w:sz w:val="17"/>
                <w:szCs w:val="17"/>
                <w:color w:val="auto"/>
                <w:w w:val="88"/>
              </w:rPr>
              <w:t>33,916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33,916</w:t>
            </w: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Impairment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474"/>
              <w:spacing w:after="0"/>
              <w:rPr>
                <w:sz w:val="20"/>
                <w:szCs w:val="20"/>
                <w:color w:val="auto"/>
              </w:rPr>
            </w:pPr>
            <w:r>
              <w:rPr>
                <w:rFonts w:ascii="Arial" w:cs="Arial" w:eastAsia="Arial" w:hAnsi="Arial"/>
                <w:sz w:val="17"/>
                <w:szCs w:val="17"/>
                <w:color w:val="auto"/>
                <w:w w:val="94"/>
              </w:rPr>
              <w:t>(20,035)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year</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center"/>
              <w:ind w:left="494"/>
              <w:spacing w:after="0"/>
              <w:rPr>
                <w:sz w:val="20"/>
                <w:szCs w:val="20"/>
                <w:color w:val="auto"/>
              </w:rPr>
            </w:pPr>
            <w:r>
              <w:rPr>
                <w:rFonts w:ascii="Arial" w:cs="Arial" w:eastAsia="Arial" w:hAnsi="Arial"/>
                <w:sz w:val="17"/>
                <w:szCs w:val="17"/>
                <w:color w:val="auto"/>
                <w:w w:val="88"/>
              </w:rPr>
              <w:t>13,881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33,916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 xml:space="preserve">We have determined that the Eat Smart, Yucatan Foods, </w:t>
      </w:r>
      <w:r>
        <w:rPr>
          <w:rFonts w:ascii="Arial" w:cs="Arial" w:eastAsia="Arial" w:hAnsi="Arial"/>
          <w:sz w:val="16"/>
          <w:szCs w:val="16"/>
          <w:i w:val="1"/>
          <w:iCs w:val="1"/>
          <w:color w:val="auto"/>
        </w:rPr>
        <w:t>O</w:t>
      </w:r>
      <w:r>
        <w:rPr>
          <w:rFonts w:ascii="Arial" w:cs="Arial" w:eastAsia="Arial" w:hAnsi="Arial"/>
          <w:sz w:val="16"/>
          <w:szCs w:val="16"/>
          <w:color w:val="auto"/>
        </w:rPr>
        <w:t xml:space="preserve">, and Lifecore are the appropriate reporting units for testing goodwill for impairment. As disclosed in Note 1, an impairment charge of $5.2 million and $2.7 million in </w:t>
      </w:r>
      <w:r>
        <w:rPr>
          <w:rFonts w:ascii="Arial" w:cs="Arial" w:eastAsia="Arial" w:hAnsi="Arial"/>
          <w:sz w:val="16"/>
          <w:szCs w:val="16"/>
          <w:i w:val="1"/>
          <w:iCs w:val="1"/>
          <w:color w:val="auto"/>
        </w:rPr>
        <w:t>O</w:t>
      </w:r>
      <w:r>
        <w:rPr>
          <w:rFonts w:ascii="Arial" w:cs="Arial" w:eastAsia="Arial" w:hAnsi="Arial"/>
          <w:sz w:val="16"/>
          <w:szCs w:val="16"/>
          <w:color w:val="auto"/>
        </w:rPr>
        <w:t xml:space="preserve"> and Yucatan Foods reporting units, respectively, was recorded during the year ended May 31, 2020. As disclosed in Note 1, an impairment charge of $32.1 million and $20.0 million in the Eat Smart and Yucatan Foods reporting units, respectively, was recorded during the year ended May 29, 2022. As of May 29, 2022, the Lifecore reporting unit had $13.9 million of goodwill.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7" w:name="page78"/>
    <w:bookmarkEnd w:id="77"/>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20"/>
                <w:szCs w:val="20"/>
                <w:color w:val="auto"/>
              </w:rPr>
            </w:pPr>
            <w:r>
              <w:rPr>
                <w:rFonts w:ascii="Arial" w:cs="Arial" w:eastAsia="Arial" w:hAnsi="Arial"/>
                <w:sz w:val="17"/>
                <w:szCs w:val="17"/>
                <w:i w:val="1"/>
                <w:iCs w:val="1"/>
                <w:color w:val="auto"/>
              </w:rPr>
              <w:t>Intangible Assets, as restated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74"/>
        </w:trPr>
        <w:tc>
          <w:tcPr>
            <w:tcW w:w="9660" w:type="dxa"/>
            <w:vAlign w:val="bottom"/>
            <w:gridSpan w:val="4"/>
          </w:tcPr>
          <w:p>
            <w:pPr>
              <w:ind w:left="620"/>
              <w:spacing w:after="0"/>
              <w:rPr>
                <w:sz w:val="20"/>
                <w:szCs w:val="20"/>
                <w:color w:val="auto"/>
              </w:rPr>
            </w:pPr>
            <w:r>
              <w:rPr>
                <w:rFonts w:ascii="Arial" w:cs="Arial" w:eastAsia="Arial" w:hAnsi="Arial"/>
                <w:sz w:val="17"/>
                <w:szCs w:val="17"/>
                <w:color w:val="auto"/>
                <w:w w:val="97"/>
              </w:rPr>
              <w:t>As restated, the following table presents the changes in intangible assets during fiscal 2022 and fiscal 2021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3"/>
        </w:trPr>
        <w:tc>
          <w:tcPr>
            <w:tcW w:w="8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2021</w:t>
            </w:r>
          </w:p>
        </w:tc>
      </w:tr>
      <w:tr>
        <w:trPr>
          <w:trHeight w:val="212"/>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7"/>
                <w:szCs w:val="17"/>
                <w:i w:val="1"/>
                <w:iCs w:val="1"/>
                <w:color w:val="auto"/>
              </w:rPr>
              <w:t>As restated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27,040</w:t>
            </w:r>
          </w:p>
        </w:tc>
      </w:tr>
      <w:tr>
        <w:trPr>
          <w:trHeight w:val="218"/>
        </w:trPr>
        <w:tc>
          <w:tcPr>
            <w:tcW w:w="8000" w:type="dxa"/>
            <w:vAlign w:val="bottom"/>
          </w:tcPr>
          <w:p>
            <w:pPr>
              <w:ind w:left="20"/>
              <w:spacing w:after="0"/>
              <w:rPr>
                <w:sz w:val="20"/>
                <w:szCs w:val="20"/>
                <w:color w:val="auto"/>
              </w:rPr>
            </w:pPr>
            <w:r>
              <w:rPr>
                <w:rFonts w:ascii="Arial" w:cs="Arial" w:eastAsia="Arial" w:hAnsi="Arial"/>
                <w:sz w:val="17"/>
                <w:szCs w:val="17"/>
                <w:color w:val="auto"/>
              </w:rPr>
              <w:t>Amortization of long-lived intangible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(1,408)</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000" w:type="dxa"/>
            <w:vAlign w:val="bottom"/>
          </w:tcPr>
          <w:p>
            <w:pPr>
              <w:ind w:left="20"/>
              <w:spacing w:after="0"/>
              <w:rPr>
                <w:sz w:val="20"/>
                <w:szCs w:val="20"/>
                <w:color w:val="auto"/>
              </w:rPr>
            </w:pPr>
            <w:r>
              <w:rPr>
                <w:rFonts w:ascii="Arial" w:cs="Arial" w:eastAsia="Arial" w:hAnsi="Arial"/>
                <w:sz w:val="17"/>
                <w:szCs w:val="17"/>
                <w:color w:val="auto"/>
              </w:rPr>
              <w:t>Balance at end of year</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10,100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25,632</w:t>
            </w: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May 29, 2022 and May 30, 2021, the Company's intangible assets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6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7"/>
                <w:szCs w:val="17"/>
                <w:color w:val="auto"/>
              </w:rPr>
              <w:t>May 29, 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7"/>
                <w:szCs w:val="17"/>
                <w:color w:val="auto"/>
              </w:rPr>
              <w:t>May 30, 2021</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00" w:type="dxa"/>
            <w:vAlign w:val="bottom"/>
            <w:gridSpan w:val="2"/>
          </w:tcPr>
          <w:p>
            <w:pPr>
              <w:jc w:val="center"/>
              <w:ind w:right="120"/>
              <w:spacing w:after="0" w:line="162" w:lineRule="exact"/>
              <w:rPr>
                <w:sz w:val="20"/>
                <w:szCs w:val="20"/>
                <w:color w:val="auto"/>
              </w:rPr>
            </w:pPr>
            <w:r>
              <w:rPr>
                <w:rFonts w:ascii="Arial" w:cs="Arial" w:eastAsia="Arial" w:hAnsi="Arial"/>
                <w:sz w:val="17"/>
                <w:szCs w:val="17"/>
                <w:color w:val="auto"/>
                <w:w w:val="97"/>
              </w:rPr>
              <w:t>Amortization</w:t>
            </w:r>
          </w:p>
        </w:tc>
        <w:tc>
          <w:tcPr>
            <w:tcW w:w="100" w:type="dxa"/>
            <w:vAlign w:val="bottom"/>
          </w:tcPr>
          <w:p>
            <w:pPr>
              <w:spacing w:after="0"/>
              <w:rPr>
                <w:sz w:val="14"/>
                <w:szCs w:val="14"/>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7"/>
                <w:szCs w:val="17"/>
                <w:color w:val="auto"/>
                <w:w w:val="90"/>
              </w:rPr>
              <w:t>Gross Carrying</w:t>
            </w:r>
          </w:p>
        </w:tc>
        <w:tc>
          <w:tcPr>
            <w:tcW w:w="16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1"/>
              </w:rPr>
              <w:t>Accumulated</w:t>
            </w:r>
          </w:p>
        </w:tc>
        <w:tc>
          <w:tcPr>
            <w:tcW w:w="10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auto"/>
              </w:rPr>
              <w:t>Gross Carrying</w:t>
            </w:r>
          </w:p>
        </w:tc>
        <w:tc>
          <w:tcPr>
            <w:tcW w:w="160" w:type="dxa"/>
            <w:vAlign w:val="bottom"/>
          </w:tcPr>
          <w:p>
            <w:pPr>
              <w:spacing w:after="0"/>
              <w:rPr>
                <w:sz w:val="14"/>
                <w:szCs w:val="14"/>
                <w:color w:val="auto"/>
              </w:rPr>
            </w:pPr>
          </w:p>
        </w:tc>
        <w:tc>
          <w:tcPr>
            <w:tcW w:w="1140" w:type="dxa"/>
            <w:vAlign w:val="bottom"/>
            <w:vMerge w:val="restart"/>
          </w:tcPr>
          <w:p>
            <w:pPr>
              <w:jc w:val="right"/>
              <w:ind w:right="94"/>
              <w:spacing w:after="0"/>
              <w:rPr>
                <w:sz w:val="20"/>
                <w:szCs w:val="20"/>
                <w:color w:val="auto"/>
              </w:rPr>
            </w:pPr>
            <w:r>
              <w:rPr>
                <w:rFonts w:ascii="Arial" w:cs="Arial" w:eastAsia="Arial" w:hAnsi="Arial"/>
                <w:sz w:val="17"/>
                <w:szCs w:val="17"/>
                <w:color w:val="auto"/>
                <w:w w:val="95"/>
              </w:rPr>
              <w:t>Accumulated</w:t>
            </w:r>
          </w:p>
        </w:tc>
        <w:tc>
          <w:tcPr>
            <w:tcW w:w="0" w:type="dxa"/>
            <w:vAlign w:val="bottom"/>
          </w:tcPr>
          <w:p>
            <w:pPr>
              <w:spacing w:after="0"/>
              <w:rPr>
                <w:sz w:val="1"/>
                <w:szCs w:val="1"/>
                <w:color w:val="auto"/>
              </w:rPr>
            </w:pPr>
          </w:p>
        </w:tc>
      </w:tr>
      <w:tr>
        <w:trPr>
          <w:trHeight w:val="168"/>
        </w:trPr>
        <w:tc>
          <w:tcPr>
            <w:tcW w:w="4360" w:type="dxa"/>
            <w:vAlign w:val="bottom"/>
          </w:tcPr>
          <w:p>
            <w:pPr>
              <w:spacing w:after="0"/>
              <w:rPr>
                <w:sz w:val="14"/>
                <w:szCs w:val="14"/>
                <w:color w:val="auto"/>
              </w:rPr>
            </w:pPr>
          </w:p>
        </w:tc>
        <w:tc>
          <w:tcPr>
            <w:tcW w:w="1400" w:type="dxa"/>
            <w:vAlign w:val="bottom"/>
            <w:gridSpan w:val="2"/>
          </w:tcPr>
          <w:p>
            <w:pPr>
              <w:ind w:left="400"/>
              <w:spacing w:after="0" w:line="167" w:lineRule="exact"/>
              <w:rPr>
                <w:sz w:val="20"/>
                <w:szCs w:val="20"/>
                <w:color w:val="auto"/>
              </w:rPr>
            </w:pPr>
            <w:r>
              <w:rPr>
                <w:rFonts w:ascii="Arial" w:cs="Arial" w:eastAsia="Arial" w:hAnsi="Arial"/>
                <w:sz w:val="17"/>
                <w:szCs w:val="17"/>
                <w:color w:val="auto"/>
              </w:rPr>
              <w:t>Period</w:t>
            </w: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3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(years)</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5"/>
              </w:rPr>
              <w:t>Amount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5"/>
              </w:rPr>
              <w:t>Amortization</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Amount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99"/>
              </w:rPr>
              <w:t>Amortization</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i w:val="1"/>
                <w:iCs w:val="1"/>
                <w:color w:val="auto"/>
                <w:w w:val="88"/>
              </w:rPr>
              <w:t>As restated</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i w:val="1"/>
                <w:iCs w:val="1"/>
                <w:color w:val="auto"/>
                <w:w w:val="90"/>
              </w:rPr>
              <w:t>As restated</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6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Lifecore</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3,418</w:t>
            </w:r>
          </w:p>
        </w:tc>
        <w:tc>
          <w:tcPr>
            <w:tcW w:w="0" w:type="dxa"/>
            <w:vAlign w:val="bottom"/>
          </w:tcPr>
          <w:p>
            <w:pPr>
              <w:spacing w:after="0"/>
              <w:rPr>
                <w:sz w:val="1"/>
                <w:szCs w:val="1"/>
                <w:color w:val="auto"/>
              </w:rPr>
            </w:pPr>
          </w:p>
        </w:tc>
      </w:tr>
      <w:tr>
        <w:trPr>
          <w:trHeight w:val="218"/>
        </w:trPr>
        <w:tc>
          <w:tcPr>
            <w:tcW w:w="4360" w:type="dxa"/>
            <w:vAlign w:val="bottom"/>
          </w:tcPr>
          <w:p>
            <w:pPr>
              <w:ind w:left="140"/>
              <w:spacing w:after="0"/>
              <w:rPr>
                <w:sz w:val="20"/>
                <w:szCs w:val="20"/>
                <w:color w:val="auto"/>
              </w:rPr>
            </w:pPr>
            <w:r>
              <w:rPr>
                <w:rFonts w:ascii="Arial" w:cs="Arial" w:eastAsia="Arial" w:hAnsi="Arial"/>
                <w:sz w:val="17"/>
                <w:szCs w:val="17"/>
                <w:color w:val="auto"/>
              </w:rPr>
              <w:t>Yucatan Foods (Curation Foods)</w:t>
            </w:r>
          </w:p>
        </w:tc>
        <w:tc>
          <w:tcPr>
            <w:tcW w:w="128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2,750</w:t>
            </w:r>
          </w:p>
        </w:tc>
        <w:tc>
          <w:tcPr>
            <w:tcW w:w="0" w:type="dxa"/>
            <w:vAlign w:val="bottom"/>
          </w:tcPr>
          <w:p>
            <w:pPr>
              <w:spacing w:after="0"/>
              <w:rPr>
                <w:sz w:val="1"/>
                <w:szCs w:val="1"/>
                <w:color w:val="auto"/>
              </w:rPr>
            </w:pPr>
          </w:p>
        </w:tc>
      </w:tr>
      <w:tr>
        <w:trPr>
          <w:trHeight w:val="21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customer relationships</w:t>
            </w:r>
          </w:p>
        </w:tc>
        <w:tc>
          <w:tcPr>
            <w:tcW w:w="1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6,168</w:t>
            </w:r>
          </w:p>
        </w:tc>
        <w:tc>
          <w:tcPr>
            <w:tcW w:w="0" w:type="dxa"/>
            <w:vAlign w:val="bottom"/>
          </w:tcPr>
          <w:p>
            <w:pPr>
              <w:spacing w:after="0"/>
              <w:rPr>
                <w:sz w:val="1"/>
                <w:szCs w:val="1"/>
                <w:color w:val="auto"/>
              </w:rPr>
            </w:pPr>
          </w:p>
        </w:tc>
      </w:tr>
      <w:tr>
        <w:trPr>
          <w:trHeight w:val="218"/>
        </w:trPr>
        <w:tc>
          <w:tcPr>
            <w:tcW w:w="4360" w:type="dxa"/>
            <w:vAlign w:val="bottom"/>
          </w:tcPr>
          <w:p>
            <w:pPr>
              <w:ind w:left="20"/>
              <w:spacing w:after="0"/>
              <w:rPr>
                <w:sz w:val="20"/>
                <w:szCs w:val="20"/>
                <w:color w:val="auto"/>
              </w:rPr>
            </w:pPr>
            <w:r>
              <w:rPr>
                <w:rFonts w:ascii="Arial" w:cs="Arial" w:eastAsia="Arial" w:hAnsi="Arial"/>
                <w:sz w:val="17"/>
                <w:szCs w:val="17"/>
                <w:color w:val="auto"/>
              </w:rPr>
              <w:t>Trademarks/tradenames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Lifecore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Pr>
          <w:p>
            <w:pPr>
              <w:ind w:left="140"/>
              <w:spacing w:after="0"/>
              <w:rPr>
                <w:sz w:val="20"/>
                <w:szCs w:val="20"/>
                <w:color w:val="auto"/>
              </w:rPr>
            </w:pPr>
            <w:r>
              <w:rPr>
                <w:rFonts w:ascii="Arial" w:cs="Arial" w:eastAsia="Arial" w:hAnsi="Arial"/>
                <w:sz w:val="17"/>
                <w:szCs w:val="17"/>
                <w:color w:val="auto"/>
              </w:rPr>
              <w:t>O (Curation Foods)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Yucatan Foods (Curation Foods)</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Arial" w:cs="Arial" w:eastAsia="Arial" w:hAnsi="Arial"/>
                <w:sz w:val="17"/>
                <w:szCs w:val="17"/>
                <w:color w:val="auto"/>
              </w:rPr>
              <w:t>Total trademarks/tradenames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8,700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17,100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w:t>
            </w: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Amortization expense related to long-lived intangible assets was $1.4 million, $1.4 million, and $1.5 million in fiscal 2022, 2021 and 2020, respectively.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20" w:type="dxa"/>
            <w:vAlign w:val="bottom"/>
          </w:tcPr>
          <w:p>
            <w:pPr>
              <w:ind w:left="620"/>
              <w:spacing w:after="0"/>
              <w:rPr>
                <w:sz w:val="20"/>
                <w:szCs w:val="20"/>
                <w:color w:val="auto"/>
              </w:rPr>
            </w:pPr>
            <w:r>
              <w:rPr>
                <w:rFonts w:ascii="Arial" w:cs="Arial" w:eastAsia="Arial" w:hAnsi="Arial"/>
                <w:sz w:val="17"/>
                <w:szCs w:val="17"/>
                <w:color w:val="auto"/>
              </w:rPr>
              <w:t>The amortization expense for each year presented are as follows (in thousands):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6"/>
        </w:trPr>
        <w:tc>
          <w:tcPr>
            <w:tcW w:w="9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i w:val="1"/>
                <w:iCs w:val="1"/>
                <w:color w:val="auto"/>
              </w:rPr>
              <w:t>As restated</w:t>
            </w: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year 2023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Fiscal year 2024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8"/>
                <w:szCs w:val="18"/>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year 2025</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Fiscal year 2026</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8"/>
                <w:szCs w:val="18"/>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year 2027</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r>
      <w:tr>
        <w:trPr>
          <w:trHeight w:val="213"/>
        </w:trPr>
        <w:tc>
          <w:tcPr>
            <w:tcW w:w="9820" w:type="dxa"/>
            <w:vAlign w:val="bottom"/>
          </w:tcPr>
          <w:p>
            <w:pPr>
              <w:ind w:left="14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1,075</w:t>
            </w:r>
          </w:p>
        </w:tc>
        <w:tc>
          <w:tcPr>
            <w:tcW w:w="100" w:type="dxa"/>
            <w:vAlign w:val="bottom"/>
          </w:tcPr>
          <w:p>
            <w:pPr>
              <w:spacing w:after="0"/>
              <w:rPr>
                <w:sz w:val="18"/>
                <w:szCs w:val="18"/>
                <w:color w:val="auto"/>
              </w:rPr>
            </w:pPr>
          </w:p>
        </w:tc>
      </w:tr>
      <w:tr>
        <w:trPr>
          <w:trHeight w:val="20"/>
        </w:trPr>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 xml:space="preserve">As discussed in Note 1, the Company recognized an impairment of the customer relationships in the Curation Foods business segment (in the </w:t>
      </w:r>
      <w:r>
        <w:rPr>
          <w:rFonts w:ascii="Arial" w:cs="Arial" w:eastAsia="Arial" w:hAnsi="Arial"/>
          <w:sz w:val="15"/>
          <w:szCs w:val="15"/>
          <w:i w:val="1"/>
          <w:iCs w:val="1"/>
          <w:color w:val="auto"/>
        </w:rPr>
        <w:t>O</w:t>
      </w:r>
      <w:r>
        <w:rPr>
          <w:rFonts w:ascii="Arial" w:cs="Arial" w:eastAsia="Arial" w:hAnsi="Arial"/>
          <w:sz w:val="15"/>
          <w:szCs w:val="15"/>
          <w:color w:val="auto"/>
        </w:rPr>
        <w:t xml:space="preserve"> reporting unit) of $0.5 million during the year ended May 31, 2020. In addition, the Company recognized an impairment of the trademarks in the Curation Foods business segment for </w:t>
      </w:r>
      <w:r>
        <w:rPr>
          <w:rFonts w:ascii="Arial" w:cs="Arial" w:eastAsia="Arial" w:hAnsi="Arial"/>
          <w:sz w:val="15"/>
          <w:szCs w:val="15"/>
          <w:i w:val="1"/>
          <w:iCs w:val="1"/>
          <w:color w:val="auto"/>
        </w:rPr>
        <w:t>O</w:t>
      </w:r>
      <w:r>
        <w:rPr>
          <w:rFonts w:ascii="Arial" w:cs="Arial" w:eastAsia="Arial" w:hAnsi="Arial"/>
          <w:sz w:val="15"/>
          <w:szCs w:val="15"/>
          <w:color w:val="auto"/>
        </w:rPr>
        <w:t xml:space="preserve"> and Yucatan Foods of $1.1 million and $3.5 million, respectively during the year ended May 31, 2020. During the year ended May 29, 2022, the Company recognized an impairment of the trademarks in the Curation Foods business segment for Yucatan Foods amounting to $8.4 million.</w:t>
      </w:r>
    </w:p>
    <w:p>
      <w:pPr>
        <w:spacing w:after="0" w:line="12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disclosed in Note 1 - Correction of Error in Previously Reported Fiscal Year 2022 Annual Financial Statements, the Company is restating its previously issued financial statements to record an impairment of the trademarks/tradenames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8" w:name="page79"/>
    <w:bookmarkEnd w:id="78"/>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customer relationships intangible asset in the Curation Foods business segment for Yucatan Foods amounting to $3.4 million and $5.8 million for the year ended May 29, 2022.</w:t>
      </w:r>
    </w:p>
    <w:p>
      <w:pPr>
        <w:spacing w:after="0" w:line="184" w:lineRule="exact"/>
        <w:rPr>
          <w:sz w:val="20"/>
          <w:szCs w:val="20"/>
          <w:color w:val="auto"/>
        </w:rPr>
      </w:pPr>
    </w:p>
    <w:p>
      <w:pPr>
        <w:ind w:right="7040" w:firstLine="3"/>
        <w:spacing w:after="0" w:line="462" w:lineRule="auto"/>
        <w:tabs>
          <w:tab w:leader="none" w:pos="301"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 and Stockholders’ Equity Common Stock and Stock Option Plans</w:t>
      </w:r>
    </w:p>
    <w:p>
      <w:pPr>
        <w:spacing w:after="0" w:line="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October 16, 2019, following stockholder approval at the Annual Meeting of Stockholders of the Company, the 2019 Stock Incentive Plan (the “Plan”) became effective and replaced the Company’s 2013 Stock Incentive Plan (the “2013 Plan”). Employees (including officers), consultants and directors of the Company and its subsidiaries and affiliates are eligible to participate in the Plan.</w:t>
      </w:r>
    </w:p>
    <w:p>
      <w:pPr>
        <w:spacing w:after="0" w:line="14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Plan provides for the grant of stock options (both nonstatutory and incentive stock options), stock grants, stock units and stock appreciation rights. Awards under the Plan will be evidenced by an agreement with the Plan participants and 2.0 million shares of the Company’s Common Stock (“Shares”) were initially available for award under the Plan. Under the Plan, no recipient may receive awards during any fiscal year that exceeds the following amounts: (i) stock options covering in excess of 500,000 Shares in the aggregate; (ii) stock grants and stock units covering in excess of 250,000 Shares in the aggregate; or (iii) stock appreciation rights covering more than 500,000 Shares in the aggregate. In addition, awards to non-employee directors are discretionary. However, a non-employee director may not be granted awards in excess of an aggregate fair market value of $120,000 during any fiscal year. The exercise price of the options is the fair market value of the Company’s Common Stock on the date the options are granted. As of May 29, 2022, 1,700,911 options to purchase shares and restricted stock units (“RSUs”) were outstanding.</w:t>
      </w:r>
    </w:p>
    <w:p>
      <w:pPr>
        <w:spacing w:after="0" w:line="1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October 10, 2013, following stockholder approval at the Annual Meeting of Stockholders of the Company, the 2013 Plan became effective and replaced the Company’s 2009 Stock Incentive Plan. Employees (including officers), consultants and directors of the Company and its subsidiaries and affiliates were eligible to participate in the 2013 Plan. The 2013 Plan provided for the grant of stock options (both nonstatutory and incentive stock options), stock grants, stock units and stock appreciation rights. Under the 2013 Plan, 2.0 million shares were initially available for awards and as of May 29, 2022, 541,374 options to purchase shares and RSUs were outstanding.</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May 29, 2022, the Company had 3.7 million common shares reserved for future issuance under Landec stock incentive plans.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Preferred Stock</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has authorized 2.0 million shares of preferred stock, and as of May 29, 2022 has no outstanding preferred stock.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 Date Fair Value</w:t>
      </w:r>
    </w:p>
    <w:p>
      <w:pPr>
        <w:spacing w:after="0" w:line="19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uses the Black-Scholes option pricing model to calculate the grant date fair value of stock option awards. The use of an option pricing model requires the Company to make estimates and assumptions, including the expected stock price volatility, expected life of option awards, risk-free interest rate, and expected dividend yield which have a significant impact on the fair value estimates. As of May 29, 2022, May 30, 2021 and May 31, 2020, the fair value of stock option grants was estimated using the following weighted average assumptions: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52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color w:val="auto"/>
                <w:w w:val="89"/>
              </w:rPr>
              <w:t>Year Ended</w:t>
            </w:r>
          </w:p>
        </w:tc>
        <w:tc>
          <w:tcPr>
            <w:tcW w:w="1500" w:type="dxa"/>
            <w:vAlign w:val="bottom"/>
            <w:tcBorders>
              <w:bottom w:val="single" w:sz="8" w:color="auto"/>
            </w:tcBorders>
          </w:tcPr>
          <w:p>
            <w:pPr>
              <w:spacing w:after="0"/>
              <w:rPr>
                <w:sz w:val="18"/>
                <w:szCs w:val="18"/>
                <w:color w:val="auto"/>
              </w:rPr>
            </w:pPr>
          </w:p>
        </w:tc>
      </w:tr>
      <w:tr>
        <w:trPr>
          <w:trHeight w:val="212"/>
        </w:trPr>
        <w:tc>
          <w:tcPr>
            <w:tcW w:w="6520" w:type="dxa"/>
            <w:vAlign w:val="bottom"/>
          </w:tcPr>
          <w:p>
            <w:pPr>
              <w:spacing w:after="0"/>
              <w:rPr>
                <w:sz w:val="18"/>
                <w:szCs w:val="18"/>
                <w:color w:val="auto"/>
              </w:rPr>
            </w:pPr>
          </w:p>
        </w:tc>
        <w:tc>
          <w:tcPr>
            <w:tcW w:w="1600" w:type="dxa"/>
            <w:vAlign w:val="bottom"/>
            <w:gridSpan w:val="2"/>
          </w:tcPr>
          <w:p>
            <w:pPr>
              <w:ind w:left="280"/>
              <w:spacing w:after="0"/>
              <w:rPr>
                <w:sz w:val="20"/>
                <w:szCs w:val="20"/>
                <w:color w:val="auto"/>
              </w:rPr>
            </w:pPr>
            <w:r>
              <w:rPr>
                <w:rFonts w:ascii="Arial" w:cs="Arial" w:eastAsia="Arial" w:hAnsi="Arial"/>
                <w:sz w:val="17"/>
                <w:szCs w:val="17"/>
                <w:color w:val="auto"/>
              </w:rPr>
              <w:t>May 29, 2022</w:t>
            </w: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May 30, 2021</w:t>
            </w:r>
          </w:p>
        </w:tc>
        <w:tc>
          <w:tcPr>
            <w:tcW w:w="1500" w:type="dxa"/>
            <w:vAlign w:val="bottom"/>
          </w:tcPr>
          <w:p>
            <w:pPr>
              <w:jc w:val="right"/>
              <w:ind w:right="174"/>
              <w:spacing w:after="0"/>
              <w:rPr>
                <w:sz w:val="20"/>
                <w:szCs w:val="20"/>
                <w:color w:val="auto"/>
              </w:rPr>
            </w:pPr>
            <w:r>
              <w:rPr>
                <w:rFonts w:ascii="Arial" w:cs="Arial" w:eastAsia="Arial" w:hAnsi="Arial"/>
                <w:sz w:val="17"/>
                <w:szCs w:val="17"/>
                <w:color w:val="auto"/>
              </w:rPr>
              <w:t>May 31, 2020</w:t>
            </w:r>
          </w:p>
        </w:tc>
      </w:tr>
      <w:tr>
        <w:trPr>
          <w:trHeight w:val="21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grant date fair value</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Assumptions: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(in years)</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500" w:type="dxa"/>
            <w:vAlign w:val="bottom"/>
          </w:tcPr>
          <w:p>
            <w:pPr>
              <w:jc w:val="right"/>
              <w:spacing w:after="0"/>
              <w:rPr>
                <w:sz w:val="20"/>
                <w:szCs w:val="20"/>
                <w:color w:val="auto"/>
              </w:rPr>
            </w:pPr>
            <w:r>
              <w:rPr>
                <w:rFonts w:ascii="Arial" w:cs="Arial" w:eastAsia="Arial" w:hAnsi="Arial"/>
                <w:sz w:val="17"/>
                <w:szCs w:val="17"/>
                <w:color w:val="auto"/>
              </w:rPr>
              <w:t>0.45 %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0.23 %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1.01 %</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31 %</w:t>
            </w: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160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00" w:type="dxa"/>
            <w:vAlign w:val="bottom"/>
          </w:tcPr>
          <w:p>
            <w:pPr>
              <w:jc w:val="right"/>
              <w:spacing w:after="0"/>
              <w:rPr>
                <w:sz w:val="20"/>
                <w:szCs w:val="20"/>
                <w:color w:val="auto"/>
              </w:rPr>
            </w:pPr>
            <w:r>
              <w:rPr>
                <w:rFonts w:ascii="Arial" w:cs="Arial" w:eastAsia="Arial" w:hAnsi="Arial"/>
                <w:sz w:val="17"/>
                <w:szCs w:val="17"/>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9" w:name="page80"/>
    <w:bookmarkEnd w:id="79"/>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 Activity</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 summary of the activity under the Company’s stock option plans as of May 29, 2022 and changes during the fiscal year then ended is presented below:</w:t>
      </w:r>
    </w:p>
    <w:p>
      <w:pPr>
        <w:spacing w:after="0" w:line="59" w:lineRule="exact"/>
        <w:rPr>
          <w:sz w:val="20"/>
          <w:szCs w:val="20"/>
          <w:color w:val="auto"/>
        </w:rPr>
      </w:pPr>
    </w:p>
    <w:p>
      <w:pPr>
        <w:ind w:left="8920"/>
        <w:spacing w:after="0"/>
        <w:rPr>
          <w:sz w:val="20"/>
          <w:szCs w:val="20"/>
          <w:color w:val="auto"/>
        </w:rPr>
      </w:pPr>
      <w:r>
        <w:rPr>
          <w:rFonts w:ascii="Arial" w:cs="Arial" w:eastAsia="Arial" w:hAnsi="Arial"/>
          <w:sz w:val="17"/>
          <w:szCs w:val="17"/>
          <w:color w:val="auto"/>
        </w:rPr>
        <w:t>Weighted-</w:t>
      </w:r>
    </w:p>
    <w:tbl>
      <w:tblPr>
        <w:tblLayout w:type="fixed"/>
        <w:tblInd w:w="0" w:type="dxa"/>
        <w:tblCellMar>
          <w:top w:w="0" w:type="dxa"/>
          <w:left w:w="0" w:type="dxa"/>
          <w:bottom w:w="0" w:type="dxa"/>
          <w:right w:w="0" w:type="dxa"/>
        </w:tblCellMar>
      </w:tblPr>
      <w:tr>
        <w:trPr>
          <w:trHeight w:val="166"/>
        </w:trPr>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line="166" w:lineRule="exact"/>
              <w:rPr>
                <w:sz w:val="20"/>
                <w:szCs w:val="20"/>
                <w:color w:val="auto"/>
              </w:rPr>
            </w:pPr>
            <w:r>
              <w:rPr>
                <w:rFonts w:ascii="Arial" w:cs="Arial" w:eastAsia="Arial" w:hAnsi="Arial"/>
                <w:sz w:val="17"/>
                <w:szCs w:val="17"/>
                <w:color w:val="auto"/>
                <w:w w:val="92"/>
              </w:rPr>
              <w:t>Weighted-</w:t>
            </w:r>
          </w:p>
        </w:tc>
        <w:tc>
          <w:tcPr>
            <w:tcW w:w="1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auto"/>
              </w:rPr>
              <w:t>Total Intrinsic</w:t>
            </w:r>
          </w:p>
        </w:tc>
        <w:tc>
          <w:tcPr>
            <w:tcW w:w="1280" w:type="dxa"/>
            <w:vAlign w:val="bottom"/>
          </w:tcPr>
          <w:p>
            <w:pPr>
              <w:jc w:val="center"/>
              <w:spacing w:after="0" w:line="166" w:lineRule="exact"/>
              <w:rPr>
                <w:sz w:val="20"/>
                <w:szCs w:val="20"/>
                <w:color w:val="auto"/>
              </w:rPr>
            </w:pPr>
            <w:r>
              <w:rPr>
                <w:rFonts w:ascii="Arial" w:cs="Arial" w:eastAsia="Arial" w:hAnsi="Arial"/>
                <w:sz w:val="17"/>
                <w:szCs w:val="17"/>
                <w:color w:val="auto"/>
                <w:w w:val="88"/>
              </w:rPr>
              <w:t>Average</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spacing w:after="0"/>
              <w:rPr>
                <w:sz w:val="14"/>
                <w:szCs w:val="14"/>
                <w:color w:val="auto"/>
              </w:rPr>
            </w:pPr>
          </w:p>
        </w:tc>
        <w:tc>
          <w:tcPr>
            <w:tcW w:w="1220" w:type="dxa"/>
            <w:vAlign w:val="bottom"/>
            <w:vMerge w:val="restart"/>
          </w:tcPr>
          <w:p>
            <w:pPr>
              <w:jc w:val="right"/>
              <w:ind w:right="254"/>
              <w:spacing w:after="0"/>
              <w:rPr>
                <w:sz w:val="20"/>
                <w:szCs w:val="20"/>
                <w:color w:val="auto"/>
              </w:rPr>
            </w:pPr>
            <w:r>
              <w:rPr>
                <w:rFonts w:ascii="Arial" w:cs="Arial" w:eastAsia="Arial" w:hAnsi="Arial"/>
                <w:sz w:val="17"/>
                <w:szCs w:val="17"/>
                <w:color w:val="auto"/>
              </w:rPr>
              <w:t>Options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line="168" w:lineRule="exact"/>
              <w:rPr>
                <w:sz w:val="20"/>
                <w:szCs w:val="20"/>
                <w:color w:val="auto"/>
              </w:rPr>
            </w:pPr>
            <w:r>
              <w:rPr>
                <w:rFonts w:ascii="Arial" w:cs="Arial" w:eastAsia="Arial" w:hAnsi="Arial"/>
                <w:sz w:val="17"/>
                <w:szCs w:val="17"/>
                <w:color w:val="auto"/>
                <w:w w:val="88"/>
              </w:rPr>
              <w:t>Average</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Arial" w:cs="Arial" w:eastAsia="Arial" w:hAnsi="Arial"/>
                <w:sz w:val="17"/>
                <w:szCs w:val="17"/>
                <w:color w:val="auto"/>
                <w:w w:val="93"/>
              </w:rPr>
              <w:t>Remaining</w:t>
            </w:r>
          </w:p>
        </w:tc>
        <w:tc>
          <w:tcPr>
            <w:tcW w:w="160" w:type="dxa"/>
            <w:vAlign w:val="bottom"/>
          </w:tcPr>
          <w:p>
            <w:pPr>
              <w:spacing w:after="0"/>
              <w:rPr>
                <w:sz w:val="14"/>
                <w:szCs w:val="14"/>
                <w:color w:val="auto"/>
              </w:rPr>
            </w:pPr>
          </w:p>
        </w:tc>
        <w:tc>
          <w:tcPr>
            <w:tcW w:w="1120" w:type="dxa"/>
            <w:vAlign w:val="bottom"/>
            <w:vMerge w:val="restart"/>
          </w:tcPr>
          <w:p>
            <w:pPr>
              <w:jc w:val="right"/>
              <w:ind w:right="174"/>
              <w:spacing w:after="0"/>
              <w:rPr>
                <w:sz w:val="20"/>
                <w:szCs w:val="20"/>
                <w:color w:val="auto"/>
              </w:rPr>
            </w:pPr>
            <w:r>
              <w:rPr>
                <w:rFonts w:ascii="Arial" w:cs="Arial" w:eastAsia="Arial" w:hAnsi="Arial"/>
                <w:sz w:val="17"/>
                <w:szCs w:val="17"/>
                <w:color w:val="auto"/>
              </w:rPr>
              <w:t>Aggregate</w:t>
            </w:r>
          </w:p>
        </w:tc>
        <w:tc>
          <w:tcPr>
            <w:tcW w:w="0" w:type="dxa"/>
            <w:vAlign w:val="bottom"/>
          </w:tcPr>
          <w:p>
            <w:pPr>
              <w:spacing w:after="0"/>
              <w:rPr>
                <w:sz w:val="1"/>
                <w:szCs w:val="1"/>
                <w:color w:val="auto"/>
              </w:rPr>
            </w:pPr>
          </w:p>
        </w:tc>
      </w:tr>
      <w:tr>
        <w:trPr>
          <w:trHeight w:val="168"/>
        </w:trPr>
        <w:tc>
          <w:tcPr>
            <w:tcW w:w="46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line="167" w:lineRule="exact"/>
              <w:rPr>
                <w:sz w:val="20"/>
                <w:szCs w:val="20"/>
                <w:color w:val="auto"/>
              </w:rPr>
            </w:pPr>
            <w:r>
              <w:rPr>
                <w:rFonts w:ascii="Arial" w:cs="Arial" w:eastAsia="Arial" w:hAnsi="Arial"/>
                <w:sz w:val="17"/>
                <w:szCs w:val="17"/>
                <w:color w:val="auto"/>
                <w:w w:val="92"/>
              </w:rPr>
              <w:t>Exercise Price</w:t>
            </w:r>
          </w:p>
        </w:tc>
        <w:tc>
          <w:tcPr>
            <w:tcW w:w="1320" w:type="dxa"/>
            <w:vAlign w:val="bottom"/>
            <w:gridSpan w:val="3"/>
          </w:tcPr>
          <w:p>
            <w:pPr>
              <w:ind w:left="20"/>
              <w:spacing w:after="0" w:line="167" w:lineRule="exact"/>
              <w:rPr>
                <w:sz w:val="20"/>
                <w:szCs w:val="20"/>
                <w:color w:val="auto"/>
              </w:rPr>
            </w:pPr>
            <w:r>
              <w:rPr>
                <w:rFonts w:ascii="Arial" w:cs="Arial" w:eastAsia="Arial" w:hAnsi="Arial"/>
                <w:sz w:val="17"/>
                <w:szCs w:val="17"/>
                <w:color w:val="auto"/>
              </w:rPr>
              <w:t>Value of Options</w:t>
            </w:r>
          </w:p>
        </w:tc>
        <w:tc>
          <w:tcPr>
            <w:tcW w:w="1280" w:type="dxa"/>
            <w:vAlign w:val="bottom"/>
          </w:tcPr>
          <w:p>
            <w:pPr>
              <w:jc w:val="center"/>
              <w:spacing w:after="0" w:line="167" w:lineRule="exact"/>
              <w:rPr>
                <w:sz w:val="20"/>
                <w:szCs w:val="20"/>
                <w:color w:val="auto"/>
              </w:rPr>
            </w:pPr>
            <w:r>
              <w:rPr>
                <w:rFonts w:ascii="Arial" w:cs="Arial" w:eastAsia="Arial" w:hAnsi="Arial"/>
                <w:sz w:val="17"/>
                <w:szCs w:val="17"/>
                <w:color w:val="auto"/>
                <w:w w:val="91"/>
              </w:rPr>
              <w:t>Contractual</w:t>
            </w: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Outstanding</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86"/>
              </w:rPr>
              <w:t>Per Share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Exercised</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Term in Years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3"/>
              </w:rPr>
              <w:t>Intrinsic Value</w:t>
            </w: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outstanding at May 26, 2019</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tcPr>
          <w:p>
            <w:pPr>
              <w:ind w:left="120"/>
              <w:spacing w:after="0"/>
              <w:rPr>
                <w:sz w:val="20"/>
                <w:szCs w:val="20"/>
                <w:color w:val="auto"/>
              </w:rPr>
            </w:pPr>
            <w:r>
              <w:rPr>
                <w:rFonts w:ascii="Arial" w:cs="Arial" w:eastAsia="Arial" w:hAnsi="Arial"/>
                <w:sz w:val="17"/>
                <w:szCs w:val="17"/>
                <w:color w:val="auto"/>
              </w:rPr>
              <w:t>Options granted</w:t>
            </w:r>
          </w:p>
        </w:tc>
        <w:tc>
          <w:tcPr>
            <w:tcW w:w="1220" w:type="dxa"/>
            <w:vAlign w:val="bottom"/>
          </w:tcPr>
          <w:p>
            <w:pPr>
              <w:jc w:val="right"/>
              <w:spacing w:after="0"/>
              <w:rPr>
                <w:sz w:val="20"/>
                <w:szCs w:val="20"/>
                <w:color w:val="auto"/>
              </w:rPr>
            </w:pPr>
            <w:r>
              <w:rPr>
                <w:rFonts w:ascii="Arial" w:cs="Arial" w:eastAsia="Arial" w:hAnsi="Arial"/>
                <w:sz w:val="17"/>
                <w:szCs w:val="17"/>
                <w:color w:val="auto"/>
              </w:rPr>
              <w:t>435,000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(163,333)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169,066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80" w:type="dxa"/>
            <w:vAlign w:val="bottom"/>
          </w:tcPr>
          <w:p>
            <w:pPr>
              <w:ind w:left="120"/>
              <w:spacing w:after="0"/>
              <w:rPr>
                <w:sz w:val="20"/>
                <w:szCs w:val="20"/>
                <w:color w:val="auto"/>
              </w:rPr>
            </w:pPr>
            <w:r>
              <w:rPr>
                <w:rFonts w:ascii="Arial" w:cs="Arial" w:eastAsia="Arial" w:hAnsi="Arial"/>
                <w:sz w:val="17"/>
                <w:szCs w:val="17"/>
                <w:color w:val="auto"/>
              </w:rPr>
              <w:t>Options forfeited</w:t>
            </w:r>
          </w:p>
        </w:tc>
        <w:tc>
          <w:tcPr>
            <w:tcW w:w="1220" w:type="dxa"/>
            <w:vAlign w:val="bottom"/>
          </w:tcPr>
          <w:p>
            <w:pPr>
              <w:jc w:val="right"/>
              <w:spacing w:after="0"/>
              <w:rPr>
                <w:sz w:val="20"/>
                <w:szCs w:val="20"/>
                <w:color w:val="auto"/>
              </w:rPr>
            </w:pPr>
            <w:r>
              <w:rPr>
                <w:rFonts w:ascii="Arial" w:cs="Arial" w:eastAsia="Arial" w:hAnsi="Arial"/>
                <w:sz w:val="17"/>
                <w:szCs w:val="17"/>
                <w:color w:val="auto"/>
              </w:rPr>
              <w:t>(55,806)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13.08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expired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(499,599)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80" w:type="dxa"/>
            <w:vAlign w:val="bottom"/>
          </w:tcPr>
          <w:p>
            <w:pPr>
              <w:ind w:left="20"/>
              <w:spacing w:after="0"/>
              <w:rPr>
                <w:sz w:val="20"/>
                <w:szCs w:val="20"/>
                <w:color w:val="auto"/>
              </w:rPr>
            </w:pPr>
            <w:r>
              <w:rPr>
                <w:rFonts w:ascii="Arial" w:cs="Arial" w:eastAsia="Arial" w:hAnsi="Arial"/>
                <w:sz w:val="17"/>
                <w:szCs w:val="17"/>
                <w:color w:val="auto"/>
              </w:rPr>
              <w:t>Options outstanding at May 31, 2020</w:t>
            </w:r>
          </w:p>
        </w:tc>
        <w:tc>
          <w:tcPr>
            <w:tcW w:w="1220" w:type="dxa"/>
            <w:vAlign w:val="bottom"/>
          </w:tcPr>
          <w:p>
            <w:pPr>
              <w:jc w:val="right"/>
              <w:spacing w:after="0"/>
              <w:rPr>
                <w:sz w:val="20"/>
                <w:szCs w:val="20"/>
                <w:color w:val="auto"/>
              </w:rPr>
            </w:pPr>
            <w:r>
              <w:rPr>
                <w:rFonts w:ascii="Arial" w:cs="Arial" w:eastAsia="Arial" w:hAnsi="Arial"/>
                <w:sz w:val="17"/>
                <w:szCs w:val="17"/>
                <w:color w:val="auto"/>
              </w:rPr>
              <w:t>1,716,358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granted</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682,600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80" w:type="dxa"/>
            <w:vAlign w:val="bottom"/>
          </w:tcPr>
          <w:p>
            <w:pPr>
              <w:ind w:left="120"/>
              <w:spacing w:after="0"/>
              <w:rPr>
                <w:sz w:val="20"/>
                <w:szCs w:val="20"/>
                <w:color w:val="auto"/>
              </w:rPr>
            </w:pPr>
            <w:r>
              <w:rPr>
                <w:rFonts w:ascii="Arial" w:cs="Arial" w:eastAsia="Arial" w:hAnsi="Arial"/>
                <w:sz w:val="17"/>
                <w:szCs w:val="17"/>
                <w:color w:val="auto"/>
              </w:rPr>
              <w:t>Options exercised</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forfeited</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(127,714)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Options expired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(437,227)</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13.42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outstanding at May 30, 2021</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1,834,017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tcPr>
          <w:p>
            <w:pPr>
              <w:ind w:left="120"/>
              <w:spacing w:after="0"/>
              <w:rPr>
                <w:sz w:val="20"/>
                <w:szCs w:val="20"/>
                <w:color w:val="auto"/>
              </w:rPr>
            </w:pPr>
            <w:r>
              <w:rPr>
                <w:rFonts w:ascii="Arial" w:cs="Arial" w:eastAsia="Arial" w:hAnsi="Arial"/>
                <w:sz w:val="17"/>
                <w:szCs w:val="17"/>
                <w:color w:val="auto"/>
              </w:rPr>
              <w:t>Options granted</w:t>
            </w:r>
          </w:p>
        </w:tc>
        <w:tc>
          <w:tcPr>
            <w:tcW w:w="1220" w:type="dxa"/>
            <w:vAlign w:val="bottom"/>
          </w:tcPr>
          <w:p>
            <w:pPr>
              <w:jc w:val="right"/>
              <w:spacing w:after="0"/>
              <w:rPr>
                <w:sz w:val="20"/>
                <w:szCs w:val="20"/>
                <w:color w:val="auto"/>
              </w:rPr>
            </w:pPr>
            <w:r>
              <w:rPr>
                <w:rFonts w:ascii="Arial" w:cs="Arial" w:eastAsia="Arial" w:hAnsi="Arial"/>
                <w:sz w:val="17"/>
                <w:szCs w:val="17"/>
                <w:color w:val="auto"/>
              </w:rPr>
              <w:t>803,000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304,211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80" w:type="dxa"/>
            <w:vAlign w:val="bottom"/>
          </w:tcPr>
          <w:p>
            <w:pPr>
              <w:ind w:left="120"/>
              <w:spacing w:after="0"/>
              <w:rPr>
                <w:sz w:val="20"/>
                <w:szCs w:val="20"/>
                <w:color w:val="auto"/>
              </w:rPr>
            </w:pPr>
            <w:r>
              <w:rPr>
                <w:rFonts w:ascii="Arial" w:cs="Arial" w:eastAsia="Arial" w:hAnsi="Arial"/>
                <w:sz w:val="17"/>
                <w:szCs w:val="17"/>
                <w:color w:val="auto"/>
              </w:rPr>
              <w:t>Options forfeited</w:t>
            </w:r>
          </w:p>
        </w:tc>
        <w:tc>
          <w:tcPr>
            <w:tcW w:w="1220" w:type="dxa"/>
            <w:vAlign w:val="bottom"/>
          </w:tcPr>
          <w:p>
            <w:pPr>
              <w:jc w:val="right"/>
              <w:spacing w:after="0"/>
              <w:rPr>
                <w:sz w:val="20"/>
                <w:szCs w:val="20"/>
                <w:color w:val="auto"/>
              </w:rPr>
            </w:pPr>
            <w:r>
              <w:rPr>
                <w:rFonts w:ascii="Arial" w:cs="Arial" w:eastAsia="Arial" w:hAnsi="Arial"/>
                <w:sz w:val="17"/>
                <w:szCs w:val="17"/>
                <w:color w:val="auto"/>
              </w:rPr>
              <w:t>(205,746)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expired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(322,170)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Options outstanding at May 29, 2022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1,947,686</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11.13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4.72</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310,682</w:t>
            </w:r>
          </w:p>
        </w:tc>
        <w:tc>
          <w:tcPr>
            <w:tcW w:w="0" w:type="dxa"/>
            <w:vAlign w:val="bottom"/>
          </w:tcPr>
          <w:p>
            <w:pPr>
              <w:spacing w:after="0"/>
              <w:rPr>
                <w:sz w:val="1"/>
                <w:szCs w:val="1"/>
                <w:color w:val="auto"/>
              </w:rPr>
            </w:pPr>
          </w:p>
        </w:tc>
      </w:tr>
      <w:tr>
        <w:trPr>
          <w:trHeight w:val="23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exercisable at May 29, 2022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986,594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195,247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80" w:name="page81"/>
    <w:bookmarkEnd w:id="80"/>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 summary of the Company’s restricted stock unit award activity as of May 29, 2022 and changes during the fiscal year then ended is presented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7"/>
                <w:szCs w:val="17"/>
                <w:color w:val="auto"/>
                <w:w w:val="93"/>
              </w:rPr>
              <w:t>Restricted Stock Units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7"/>
                <w:szCs w:val="17"/>
                <w:color w:val="auto"/>
                <w:w w:val="90"/>
              </w:rPr>
              <w:t>Weighted-Average</w:t>
            </w:r>
          </w:p>
        </w:tc>
        <w:tc>
          <w:tcPr>
            <w:tcW w:w="0" w:type="dxa"/>
            <w:vAlign w:val="bottom"/>
          </w:tcPr>
          <w:p>
            <w:pPr>
              <w:spacing w:after="0"/>
              <w:rPr>
                <w:sz w:val="1"/>
                <w:szCs w:val="1"/>
                <w:color w:val="auto"/>
              </w:rPr>
            </w:pPr>
          </w:p>
        </w:tc>
      </w:tr>
      <w:tr>
        <w:trPr>
          <w:trHeight w:val="168"/>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center"/>
              <w:ind w:right="100"/>
              <w:spacing w:after="0" w:line="167" w:lineRule="exact"/>
              <w:rPr>
                <w:sz w:val="20"/>
                <w:szCs w:val="20"/>
                <w:color w:val="auto"/>
              </w:rPr>
            </w:pPr>
            <w:r>
              <w:rPr>
                <w:rFonts w:ascii="Arial" w:cs="Arial" w:eastAsia="Arial" w:hAnsi="Arial"/>
                <w:sz w:val="17"/>
                <w:szCs w:val="17"/>
                <w:color w:val="auto"/>
                <w:w w:val="91"/>
              </w:rPr>
              <w:t>Grant Date Fair Value</w:t>
            </w:r>
          </w:p>
        </w:tc>
        <w:tc>
          <w:tcPr>
            <w:tcW w:w="0" w:type="dxa"/>
            <w:vAlign w:val="bottom"/>
          </w:tcPr>
          <w:p>
            <w:pPr>
              <w:spacing w:after="0"/>
              <w:rPr>
                <w:sz w:val="1"/>
                <w:szCs w:val="1"/>
                <w:color w:val="auto"/>
              </w:rPr>
            </w:pPr>
          </w:p>
        </w:tc>
      </w:tr>
      <w:tr>
        <w:trPr>
          <w:trHeight w:val="218"/>
        </w:trPr>
        <w:tc>
          <w:tcPr>
            <w:tcW w:w="68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7"/>
                <w:szCs w:val="17"/>
                <w:color w:val="auto"/>
                <w:w w:val="89"/>
              </w:rPr>
              <w:t>Outstanding</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34"/>
              <w:spacing w:after="0"/>
              <w:rPr>
                <w:sz w:val="20"/>
                <w:szCs w:val="20"/>
                <w:color w:val="auto"/>
              </w:rPr>
            </w:pPr>
            <w:r>
              <w:rPr>
                <w:rFonts w:ascii="Arial" w:cs="Arial" w:eastAsia="Arial" w:hAnsi="Arial"/>
                <w:sz w:val="17"/>
                <w:szCs w:val="17"/>
                <w:color w:val="auto"/>
                <w:w w:val="86"/>
              </w:rPr>
              <w:t>Per Share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units/awards outstanding at May 26, 2019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428,427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Granted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296,527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Vested</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(131,361)</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units/awards outstanding at May 31, 2020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469,548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Granted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188,225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Vested</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(31,180)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units/awards outstanding at May 30, 2021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480,396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Granted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105,858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Vested</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(228,568)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(63,087)</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stock units/awards outstanding at May 29, 2022</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294,599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Stock-Based Compensation Expense</w:t>
            </w: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6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8220" w:type="dxa"/>
            <w:vAlign w:val="bottom"/>
            <w:gridSpan w:val="4"/>
          </w:tcPr>
          <w:p>
            <w:pPr>
              <w:ind w:left="620"/>
              <w:spacing w:after="0"/>
              <w:rPr>
                <w:sz w:val="20"/>
                <w:szCs w:val="20"/>
                <w:color w:val="auto"/>
              </w:rPr>
            </w:pPr>
            <w:r>
              <w:rPr>
                <w:rFonts w:ascii="Arial" w:cs="Arial" w:eastAsia="Arial" w:hAnsi="Arial"/>
                <w:sz w:val="17"/>
                <w:szCs w:val="17"/>
                <w:color w:val="auto"/>
              </w:rPr>
              <w:t>The following table summarizes the stock-based compensation by statement of operations line item:</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Year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7"/>
                <w:szCs w:val="17"/>
                <w:color w:val="auto"/>
                <w:w w:val="97"/>
              </w:rPr>
              <w:t>May 29, 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7"/>
                <w:szCs w:val="17"/>
                <w:color w:val="auto"/>
                <w:w w:val="97"/>
              </w:rPr>
              <w:t>May 30, 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w w:val="98"/>
              </w:rPr>
              <w:t>May 31, 2020</w:t>
            </w:r>
          </w:p>
        </w:tc>
        <w:tc>
          <w:tcPr>
            <w:tcW w:w="0" w:type="dxa"/>
            <w:vAlign w:val="bottom"/>
          </w:tcPr>
          <w:p>
            <w:pPr>
              <w:spacing w:after="0"/>
              <w:rPr>
                <w:sz w:val="1"/>
                <w:szCs w:val="1"/>
                <w:color w:val="auto"/>
              </w:rPr>
            </w:pPr>
          </w:p>
        </w:tc>
      </w:tr>
      <w:tr>
        <w:trPr>
          <w:trHeight w:val="20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Continuing operations: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Cost of sales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314</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348</w:t>
            </w:r>
          </w:p>
        </w:tc>
        <w:tc>
          <w:tcPr>
            <w:tcW w:w="30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20"/>
        </w:trPr>
        <w:tc>
          <w:tcPr>
            <w:tcW w:w="6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2,734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2,099</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Arial" w:cs="Arial" w:eastAsia="Arial" w:hAnsi="Arial"/>
                <w:sz w:val="17"/>
                <w:szCs w:val="17"/>
                <w:color w:val="auto"/>
              </w:rPr>
              <w:t>Total stock-based compensation</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2,608</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3,360</w:t>
            </w:r>
          </w:p>
        </w:tc>
        <w:tc>
          <w:tcPr>
            <w:tcW w:w="30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2,419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of May 29, 2022, there was $2.7 million of total unrecognized compensation expense related to unvested equity compensation awards granted under the Landec stock incentive plans. Total expense is expected to be recognized over the weighted-average period of 1.90 years for stock options and 1.71 years for restricted stock unit awards.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Plan</w:t>
      </w:r>
    </w:p>
    <w:p>
      <w:pPr>
        <w:spacing w:after="0" w:line="184" w:lineRule="exact"/>
        <w:rPr>
          <w:sz w:val="20"/>
          <w:szCs w:val="20"/>
          <w:color w:val="auto"/>
        </w:rPr>
      </w:pPr>
    </w:p>
    <w:p>
      <w:pPr>
        <w:jc w:val="both"/>
        <w:ind w:firstLine="773"/>
        <w:spacing w:after="0" w:line="257" w:lineRule="auto"/>
        <w:rPr>
          <w:sz w:val="20"/>
          <w:szCs w:val="20"/>
          <w:color w:val="auto"/>
        </w:rPr>
      </w:pPr>
      <w:r>
        <w:rPr>
          <w:rFonts w:ascii="Arial" w:cs="Arial" w:eastAsia="Arial" w:hAnsi="Arial"/>
          <w:sz w:val="17"/>
          <w:szCs w:val="17"/>
          <w:color w:val="auto"/>
        </w:rPr>
        <w:t>On July 14, 2010, the Board of Directors of the Company approved the establishment of a stock repurchase plan which allows for the repurchase of up to $10.0 million of the Company’s Common Stock. The Company may repurchase its Common Stock from time to time in open market purchases or in privately negotiated transactions. The timing and actual number of shares repurchased is at the discretion of management of the Company and will depend on a variety of factors, including stock price, corporate and regulatory requirements, market conditions, the relative attractiveness of other capital deployment opportunities and other corporate priorities. The stock repurchase program does not obligate Landec to acquire any amount of its Common Stock and the program may be modified, suspended or terminated at any time at the Company’s discretion without prior notice. During fiscal years 2022, 2021 and 2020, the Company did not purchase any shares on the open market.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1" w:name="page82"/>
    <w:bookmarkEnd w:id="81"/>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6"/>
          <w:szCs w:val="16"/>
          <w:b w:val="1"/>
          <w:bCs w:val="1"/>
          <w:color w:val="auto"/>
        </w:rPr>
        <w:t>Debt</w:t>
      </w:r>
    </w:p>
    <w:p>
      <w:pPr>
        <w:spacing w:after="0" w:line="19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September 23, 2016, the Company entered into a Credit Agreement with JPMorgan, BMO, and City National Bank, as lenders (collectively, the “Lenders”), and JPMorgan as administrative agent, pursuant to which the Lenders provided the Company with a $100.0 million revolving line of credit (the “Revolver”) and a $50.0 million term loan facility (the “Term Loan”), guaranteed by each of the Company’s direct and indirect subsidiaries and secured by substantially all of the Company’s assets, with the exception of the Company’s investment in Windset.</w:t>
      </w:r>
    </w:p>
    <w:p>
      <w:pPr>
        <w:spacing w:after="0" w:line="13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On November 30, 2018, the Company entered into the Fourth Amendment to the Credit Agreement, which increased the Term Loan to $100.0 million and the Revolver to $105.0 million.</w:t>
      </w:r>
    </w:p>
    <w:p>
      <w:pPr>
        <w:spacing w:after="0" w:line="12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October 25, 2019, the Company entered into the Sixth Amendment to the Credit Agreement, which increased the Term Loan to $120.0 million and decreased the revolver to $100.0 million. Both the Revolver and the Term Loan mature on October 25, 2022, with the Term Loan requiring quarterly principal payments of $3.0 million and the remainder continuing to be due at maturity.</w:t>
      </w:r>
    </w:p>
    <w:p>
      <w:pPr>
        <w:spacing w:after="0" w:line="149"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On March 19, 2020, the Company entered into the Seventh Amendment to the Credit Agreement (the “Seventh Amendment”), which among other changes, retroactively increased the maximum Total Leverage Ratio (as defined in the Credit Agreement as the ratio of the Company’s total indebtedness on such date to the Company’s consolidated EBITDA for the period of four consecutive fiscal quarters ended on or most recently prior to such date) to 5.75 to 1.00 for the fiscal quarter ended February 23, 2020, which decreases back to 5.00 to 1.00 for the fiscal quarter ending May 31, 2020. The maximum Total Leverage Ratio thereafter decreases by 25 basis points each subsequent fiscal quarter thereafter, until it reaches 3.50 for the fiscal quarter ending November 28, 2021, and then remains fixed through maturity. The Seventh Amendment also introduced additional financial covenants that remain in effect through May 31, 2020, including minimum cumulative monthly Unadjusted EBITDA thresholds and maximum capital expenditures, as well as additional reporting requirements and frequencies. Interest on both the Revolver and the Term Loan continues to be based upon the Company’s Total Leverage Ratio, at a per annum rate of either (i) the prime rate plus a spread of between 0.25% and 3.00% or (ii) the Eurodollar rate plus a spread of between 1.25% and 4.00%.</w:t>
      </w:r>
    </w:p>
    <w:p>
      <w:pPr>
        <w:spacing w:after="0" w:line="13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July 15, 2020, the Company entered into the Eighth Amendment to the Credit Agreement (the “Eighth Amendment”), which among other things, (i) modified the definition of EBITDA to increase the limit on permitted exclusions for certain unusual, extraordinary or one-time cash items for each fiscal quarter ending on or after February 28, 2021, to a maximum of 20% of EBITDA, and (ii) restricted the Company from making Capital Expenditures over certain thresholds. Interest continues to be based on the Company’s Total Leverage Ratio, at a revised per annum Applicable Rate of either (i) the prime rate plus a spread of between 0.75% and 3.50% or (ii) the Eurodollar rate plus a spread of between 1.75% and 4.50%, plus, in each case, a commitment fee, as applicable, of between 0.15% and 0.55%, as further described in the Eighth Amendment.</w:t>
      </w:r>
    </w:p>
    <w:p>
      <w:pPr>
        <w:spacing w:after="0" w:line="14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On December 31, 2020, the Company refinanced its existing term loan and revolving credit facility by entering into two separate Credit Agreements (the "New Credit Agreements") with BMO and Goldman Sachs Specialty Lending Group, L.P. (“Goldman”) and Guggenheim Credit Services, LLC ("Guggenheim"), as lenders (collectively, the “Refinance Lenders”). Pursuant to the credit agreement related to the revolving credit facility, BMO has provided the Company, Curation Foods and Lifecore, as co-borrowers, with an up to $75.0 million revolving line of credit (the “Refinance Revolver”) and serves as administrative agent of the Refinance Revolver. Pursuant to the credit agreement related to the term loan, Goldman and Guggenheim have provided the Company, Curation Foods and Lifecore, as co-borrowers, with an up to $170.0 million term loan facility (split equally between Goldman and Guggenheim) (the “Refinance Term Loan”) and Goldman serves as administrative agent of the Refinance Term Loan. The Refinance Revolver and Refinance Term Loan are guaranteed, and secured by, substantially all of the Company’s and the Company's direct and indirect subsidiaries' assets.</w:t>
      </w:r>
    </w:p>
    <w:p>
      <w:pPr>
        <w:spacing w:after="0" w:line="14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Refinance Term Loan matures on December 31, 2025. The Refinance Revolver matures on December 31, 2025 or, if the Refinance Term Loan remains outstanding on such date, ninety (90) days prior to the maturity date of the Refinance Term Loan (on October 2, 2025).</w:t>
      </w:r>
    </w:p>
    <w:p>
      <w:pPr>
        <w:spacing w:after="0" w:line="12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Refinance Term Loan provides for principal payments by the Company of 5% per annum, payable quarterly in arrears in equal installments, commencing on March 30, 2023, with the remainder due at maturity.</w:t>
      </w:r>
    </w:p>
    <w:p>
      <w:pPr>
        <w:spacing w:after="0" w:line="126"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Interest on the Refinance Revolver is based upon the Company’s average availability, at a per annum rate of either (i) LIBOR rate plus a spread of between 2.00% and 2.50% or (ii) base rate plus a spread of between 1.00% and 1.50%, plus a commitment fee, as applicable, of 0.375%. Interest on the Refinance Term Loan is at a per annum rate based on either (i) the base rate plus a spread of 7.50% or (ii) the LIBOR rate plus a spread of 8.50%. The Refinance Term Loan Credit Agreement also provides that in the event of a prepayment of any amount other than the scheduled installments within twelve months after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2" w:name="page83"/>
    <w:bookmarkEnd w:id="82"/>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closing date, a penalty will be assessed equal to the aggregate amount of interest that would have otherwise been payable from date of prepayment event until twelve months after the closing date plus 3% of the amount prepaid.</w:t>
      </w:r>
    </w:p>
    <w:p>
      <w:pPr>
        <w:spacing w:after="0" w:line="12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New Credit Agreements provide the Company the right to increase the revolver commitments under the Refinance Revolver, subject to the satisfaction of certain conditions (including consent from BMO), by obtaining additional commitments from either BMO or another lending institution at an amount of up to $15.0 million.</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New Credit Agreements contain customary financial covenants and events of default under which the obligations thereunder could be accelerated and/or the interest rate increased in specified circumstances.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connection with the New Credit Agreements, the Company incurred debt issuance costs from the lender and third-parties of $10.3 million.</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Concurrent with the close of the New Credit Agreements, the Company repaid all outstanding borrowings under the current Credit Agreement, and terminated the Credit Agreement. In connection with the repayment of borrowings under the Credit Agreement, the Company recognized a loss in fiscal year 2021 of $1.1 million, as a result of the non-cash write-off of unamortized debt issuance costs related to the refinancing under the New Credit Agreements.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April 2022 the Company amended the New Credit Agreements to make available again $20.0 million of term debt that that had been previously repaid.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this amendment, the Company incurred debt issuance costs from the lender of $0.7 million.</w:t>
      </w:r>
    </w:p>
    <w:p>
      <w:pPr>
        <w:spacing w:after="0" w:line="219" w:lineRule="exact"/>
        <w:rPr>
          <w:sz w:val="20"/>
          <w:szCs w:val="20"/>
          <w:color w:val="auto"/>
        </w:rPr>
      </w:pPr>
    </w:p>
    <w:p>
      <w:pPr>
        <w:ind w:right="180" w:firstLine="619"/>
        <w:spacing w:after="0" w:line="289" w:lineRule="auto"/>
        <w:rPr>
          <w:sz w:val="20"/>
          <w:szCs w:val="20"/>
          <w:color w:val="auto"/>
        </w:rPr>
      </w:pPr>
      <w:r>
        <w:rPr>
          <w:rFonts w:ascii="Arial" w:cs="Arial" w:eastAsia="Arial" w:hAnsi="Arial"/>
          <w:sz w:val="15"/>
          <w:szCs w:val="15"/>
          <w:color w:val="auto"/>
        </w:rPr>
        <w:t>As of May 29, 2022, $40.0 million was outstanding on the Refinance Revolver, at an interest rate of 3.00%. As of May 29, 2022, the Refinance Term Loan had an interest rate of 9.5%. As of May 29, 2022, the Company was in compliance with all financial covenants and had no events of default under the New Credit Agreements. However, as of the Amended Filing Date, the Company was not in compliance with the covenants under the New Credit Agreements and therefore all outstanding amounts under these agreements, as amended (See Note. 15 Subsequent Events), have been reclassified as current.</w:t>
      </w:r>
    </w:p>
    <w:p>
      <w:pPr>
        <w:spacing w:after="0" w:line="110" w:lineRule="exact"/>
        <w:rPr>
          <w:sz w:val="20"/>
          <w:szCs w:val="20"/>
          <w:color w:val="auto"/>
        </w:rPr>
      </w:pPr>
    </w:p>
    <w:p>
      <w:pPr>
        <w:jc w:val="both"/>
        <w:ind w:right="60" w:firstLine="619"/>
        <w:spacing w:after="0" w:line="250" w:lineRule="auto"/>
        <w:rPr>
          <w:sz w:val="20"/>
          <w:szCs w:val="20"/>
          <w:color w:val="auto"/>
        </w:rPr>
      </w:pPr>
      <w:r>
        <w:rPr>
          <w:rFonts w:ascii="Arial" w:cs="Arial" w:eastAsia="Arial" w:hAnsi="Arial"/>
          <w:sz w:val="17"/>
          <w:szCs w:val="17"/>
          <w:color w:val="auto"/>
        </w:rPr>
        <w:t>Long-term debt consists of the following as of May 29, 2022 and May 30, 2021 (in thousands) based on the contractual repayment schedule. However, as discussed in Note 1, all amounts have been classified as current on the Consolidated Balance Sheet due to the covenant violations, which causes the debt to be due upon demand as of May 29,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60" w:type="dxa"/>
            <w:vAlign w:val="bottom"/>
          </w:tcPr>
          <w:p>
            <w:pPr>
              <w:spacing w:after="0"/>
              <w:rPr>
                <w:sz w:val="18"/>
                <w:szCs w:val="18"/>
                <w:color w:val="auto"/>
              </w:rPr>
            </w:pPr>
          </w:p>
        </w:tc>
        <w:tc>
          <w:tcPr>
            <w:tcW w:w="1440" w:type="dxa"/>
            <w:vAlign w:val="bottom"/>
            <w:gridSpan w:val="3"/>
          </w:tcPr>
          <w:p>
            <w:pPr>
              <w:ind w:left="200"/>
              <w:spacing w:after="0"/>
              <w:rPr>
                <w:sz w:val="20"/>
                <w:szCs w:val="20"/>
                <w:color w:val="auto"/>
              </w:rPr>
            </w:pPr>
            <w:r>
              <w:rPr>
                <w:rFonts w:ascii="Arial" w:cs="Arial" w:eastAsia="Arial" w:hAnsi="Arial"/>
                <w:sz w:val="17"/>
                <w:szCs w:val="17"/>
                <w:color w:val="auto"/>
              </w:rPr>
              <w:t>May 29, 2022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94"/>
              <w:spacing w:after="0"/>
              <w:rPr>
                <w:sz w:val="20"/>
                <w:szCs w:val="20"/>
                <w:color w:val="auto"/>
              </w:rPr>
            </w:pPr>
            <w:r>
              <w:rPr>
                <w:rFonts w:ascii="Arial" w:cs="Arial" w:eastAsia="Arial" w:hAnsi="Arial"/>
                <w:sz w:val="17"/>
                <w:szCs w:val="17"/>
                <w:color w:val="auto"/>
                <w:w w:val="93"/>
              </w:rPr>
              <w:t>May 30, 2021</w:t>
            </w:r>
          </w:p>
        </w:tc>
      </w:tr>
      <w:tr>
        <w:trPr>
          <w:trHeight w:val="213"/>
        </w:trPr>
        <w:tc>
          <w:tcPr>
            <w:tcW w:w="8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103,712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170,000</w:t>
            </w:r>
          </w:p>
        </w:tc>
      </w:tr>
      <w:tr>
        <w:trPr>
          <w:trHeight w:val="211"/>
        </w:trPr>
        <w:tc>
          <w:tcPr>
            <w:tcW w:w="8460" w:type="dxa"/>
            <w:vAlign w:val="bottom"/>
          </w:tcPr>
          <w:p>
            <w:pPr>
              <w:ind w:left="20"/>
              <w:spacing w:after="0"/>
              <w:rPr>
                <w:sz w:val="20"/>
                <w:szCs w:val="20"/>
                <w:color w:val="auto"/>
              </w:rPr>
            </w:pPr>
            <w:r>
              <w:rPr>
                <w:rFonts w:ascii="Arial" w:cs="Arial" w:eastAsia="Arial" w:hAnsi="Arial"/>
                <w:sz w:val="17"/>
                <w:szCs w:val="17"/>
                <w:color w:val="auto"/>
              </w:rPr>
              <w:t>Total principal amount of long-term debt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103,712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170,000</w:t>
            </w:r>
          </w:p>
        </w:tc>
      </w:tr>
      <w:tr>
        <w:trPr>
          <w:trHeight w:val="220"/>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unamortized debt issuance costs</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(5,534)</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(5,098)</w:t>
            </w:r>
          </w:p>
        </w:tc>
      </w:tr>
      <w:tr>
        <w:trPr>
          <w:trHeight w:val="211"/>
        </w:trPr>
        <w:tc>
          <w:tcPr>
            <w:tcW w:w="8460" w:type="dxa"/>
            <w:vAlign w:val="bottom"/>
          </w:tcPr>
          <w:p>
            <w:pPr>
              <w:ind w:left="20"/>
              <w:spacing w:after="0"/>
              <w:rPr>
                <w:sz w:val="20"/>
                <w:szCs w:val="20"/>
                <w:color w:val="auto"/>
              </w:rPr>
            </w:pPr>
            <w:r>
              <w:rPr>
                <w:rFonts w:ascii="Arial" w:cs="Arial" w:eastAsia="Arial" w:hAnsi="Arial"/>
                <w:sz w:val="17"/>
                <w:szCs w:val="17"/>
                <w:color w:val="auto"/>
              </w:rPr>
              <w:t>Total long-term debt, net of unamortized debt issuance costs</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98,178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164,902</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current portion of long-term debt, net</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(98,178)</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460" w:type="dxa"/>
            <w:vAlign w:val="bottom"/>
          </w:tcPr>
          <w:p>
            <w:pPr>
              <w:ind w:left="20"/>
              <w:spacing w:after="0"/>
              <w:rPr>
                <w:sz w:val="20"/>
                <w:szCs w:val="20"/>
                <w:color w:val="auto"/>
              </w:rPr>
            </w:pPr>
            <w:r>
              <w:rPr>
                <w:rFonts w:ascii="Arial" w:cs="Arial" w:eastAsia="Arial" w:hAnsi="Arial"/>
                <w:sz w:val="17"/>
                <w:szCs w:val="17"/>
                <w:color w:val="auto"/>
              </w:rPr>
              <w:t>Long-term debt, net</w:t>
            </w: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164,902</w:t>
            </w:r>
          </w:p>
        </w:tc>
      </w:tr>
      <w:tr>
        <w:trPr>
          <w:trHeight w:val="20"/>
        </w:trPr>
        <w:tc>
          <w:tcPr>
            <w:tcW w:w="8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19"/>
        </w:trPr>
        <w:tc>
          <w:tcPr>
            <w:tcW w:w="8940" w:type="dxa"/>
            <w:vAlign w:val="bottom"/>
            <w:gridSpan w:val="2"/>
          </w:tcPr>
          <w:p>
            <w:pPr>
              <w:ind w:left="620"/>
              <w:spacing w:after="0"/>
              <w:rPr>
                <w:sz w:val="20"/>
                <w:szCs w:val="20"/>
                <w:color w:val="auto"/>
              </w:rPr>
            </w:pPr>
            <w:r>
              <w:rPr>
                <w:rFonts w:ascii="Arial" w:cs="Arial" w:eastAsia="Arial" w:hAnsi="Arial"/>
                <w:sz w:val="17"/>
                <w:szCs w:val="17"/>
                <w:color w:val="auto"/>
                <w:w w:val="94"/>
              </w:rPr>
              <w:t>The future minimum principal payments of the Company’s debt for each year presented are as follows (in thousands):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6"/>
        </w:trPr>
        <w:tc>
          <w:tcPr>
            <w:tcW w:w="846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Term Loan</w:t>
            </w:r>
          </w:p>
        </w:tc>
      </w:tr>
      <w:tr>
        <w:trPr>
          <w:trHeight w:val="213"/>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year 2023</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2,125</w:t>
            </w:r>
          </w:p>
        </w:tc>
      </w:tr>
      <w:tr>
        <w:trPr>
          <w:trHeight w:val="218"/>
        </w:trPr>
        <w:tc>
          <w:tcPr>
            <w:tcW w:w="8460" w:type="dxa"/>
            <w:vAlign w:val="bottom"/>
          </w:tcPr>
          <w:p>
            <w:pPr>
              <w:ind w:left="20"/>
              <w:spacing w:after="0"/>
              <w:rPr>
                <w:sz w:val="20"/>
                <w:szCs w:val="20"/>
                <w:color w:val="auto"/>
              </w:rPr>
            </w:pPr>
            <w:r>
              <w:rPr>
                <w:rFonts w:ascii="Arial" w:cs="Arial" w:eastAsia="Arial" w:hAnsi="Arial"/>
                <w:sz w:val="17"/>
                <w:szCs w:val="17"/>
                <w:color w:val="auto"/>
              </w:rPr>
              <w:t>Fiscal year 2024</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8,469</w:t>
            </w:r>
          </w:p>
        </w:tc>
      </w:tr>
      <w:tr>
        <w:trPr>
          <w:trHeight w:val="220"/>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year 2025</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8,422</w:t>
            </w:r>
          </w:p>
        </w:tc>
      </w:tr>
      <w:tr>
        <w:trPr>
          <w:trHeight w:val="21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Fiscal year 2026</w:t>
            </w:r>
          </w:p>
        </w:tc>
        <w:tc>
          <w:tcPr>
            <w:tcW w:w="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84,696</w:t>
            </w:r>
          </w:p>
        </w:tc>
      </w:tr>
      <w:tr>
        <w:trPr>
          <w:trHeight w:val="233"/>
        </w:trPr>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103,712</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Instruments</w:t>
      </w:r>
    </w:p>
    <w:p>
      <w:pPr>
        <w:spacing w:after="0" w:line="19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November 1, 2016, the Company entered into an interest rate swap contract (the “2016 Swap”) with BMO at a notional amount of $50.0 million. The 2016 Swap had the effect of changing the Company’s previous term loan obligation from a variable interest rate to a fixed 30-day LIBOR rate of 1.22%. The 2016 Swap matured in September 2021.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3" w:name="page84"/>
    <w:bookmarkEnd w:id="83"/>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June 25, 2018, the Company entered into an interest rate swap contract (the “2018 Swap”) with BMO at a notional amount of $30.0 million. The 2018 Swap had the effect on our previous debt of converting the first $30.0 million of the total outstanding amount of the Company’s 30-day LIBOR borrowings from a variable interest rate to a fixed 30-day LIBOR rate of 2.74%%. The 2018 Swap matured in September 2021.</w:t>
      </w:r>
    </w:p>
    <w:p>
      <w:pPr>
        <w:spacing w:after="0" w:line="13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December 2, 2019, the Company entered into an interest rate swap contract (the “2019 Swap”) with BMO at a notional amount of $110.0 million which decreases quarterly. The 2019 Swap had the effect on our previous debt of converting primarily all of the $110.0 million of the total outstanding amount of the Company’s 30-day LIBOR borrowings from a variable interest rate to a fixed 30-day LIBOR rate of 1.53%. The 2019 Swap will mature in November 2022 and its value is de minimis.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Pr>
          <w:p>
            <w:pPr>
              <w:spacing w:after="0"/>
              <w:rPr>
                <w:sz w:val="20"/>
                <w:szCs w:val="20"/>
                <w:color w:val="auto"/>
              </w:rPr>
            </w:pPr>
            <w:r>
              <w:rPr>
                <w:rFonts w:ascii="Arial" w:cs="Arial" w:eastAsia="Arial" w:hAnsi="Arial"/>
                <w:sz w:val="17"/>
                <w:szCs w:val="17"/>
                <w:b w:val="1"/>
                <w:bCs w:val="1"/>
                <w:color w:val="auto"/>
              </w:rPr>
              <w:t>7.  Income Taxes, As Restated</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74"/>
        </w:trPr>
        <w:tc>
          <w:tcPr>
            <w:tcW w:w="6820" w:type="dxa"/>
            <w:vAlign w:val="bottom"/>
          </w:tcPr>
          <w:p>
            <w:pPr>
              <w:spacing w:after="0"/>
              <w:rPr>
                <w:sz w:val="20"/>
                <w:szCs w:val="20"/>
                <w:color w:val="auto"/>
              </w:rPr>
            </w:pPr>
            <w:r>
              <w:rPr>
                <w:rFonts w:ascii="Arial" w:cs="Arial" w:eastAsia="Arial" w:hAnsi="Arial"/>
                <w:sz w:val="17"/>
                <w:szCs w:val="17"/>
                <w:color w:val="auto"/>
                <w:w w:val="96"/>
              </w:rPr>
              <w:t>The (benefit) provision for income taxes from continuing operations consisted of the following:</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8"/>
        </w:trPr>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89"/>
              </w:rPr>
              <w:t>Year Ended</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11"/>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i w:val="1"/>
                <w:iCs w:val="1"/>
                <w:color w:val="auto"/>
                <w:w w:val="88"/>
              </w:rPr>
              <w:t>As restated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May 29, 2022</w:t>
            </w:r>
          </w:p>
        </w:tc>
        <w:tc>
          <w:tcPr>
            <w:tcW w:w="16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May 30, 2021</w:t>
            </w:r>
          </w:p>
        </w:tc>
        <w:tc>
          <w:tcPr>
            <w:tcW w:w="1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31, 2020</w:t>
            </w:r>
          </w:p>
        </w:tc>
      </w:tr>
      <w:tr>
        <w:trPr>
          <w:trHeight w:val="21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8"/>
        </w:trPr>
        <w:tc>
          <w:tcPr>
            <w:tcW w:w="6820" w:type="dxa"/>
            <w:vAlign w:val="bottom"/>
          </w:tcPr>
          <w:p>
            <w:pPr>
              <w:ind w:left="140"/>
              <w:spacing w:after="0"/>
              <w:rPr>
                <w:sz w:val="20"/>
                <w:szCs w:val="20"/>
                <w:color w:val="auto"/>
              </w:rPr>
            </w:pPr>
            <w:r>
              <w:rPr>
                <w:rFonts w:ascii="Arial" w:cs="Arial" w:eastAsia="Arial" w:hAnsi="Arial"/>
                <w:sz w:val="17"/>
                <w:szCs w:val="17"/>
                <w:color w:val="auto"/>
              </w:rPr>
              <w:t>Federal</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(7,723)</w:t>
            </w:r>
          </w:p>
        </w:tc>
      </w:tr>
      <w:tr>
        <w:trPr>
          <w:trHeight w:val="220"/>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8"/>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Foreign</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r>
      <w:tr>
        <w:trPr>
          <w:trHeight w:val="213"/>
        </w:trPr>
        <w:tc>
          <w:tcPr>
            <w:tcW w:w="682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(7,629)</w:t>
            </w:r>
          </w:p>
        </w:tc>
      </w:tr>
      <w:tr>
        <w:trPr>
          <w:trHeight w:val="258"/>
        </w:trPr>
        <w:tc>
          <w:tcPr>
            <w:tcW w:w="6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8"/>
        </w:trPr>
        <w:tc>
          <w:tcPr>
            <w:tcW w:w="6820" w:type="dxa"/>
            <w:vAlign w:val="bottom"/>
          </w:tcPr>
          <w:p>
            <w:pPr>
              <w:ind w:left="140"/>
              <w:spacing w:after="0"/>
              <w:rPr>
                <w:sz w:val="20"/>
                <w:szCs w:val="20"/>
                <w:color w:val="auto"/>
              </w:rPr>
            </w:pPr>
            <w:r>
              <w:rPr>
                <w:rFonts w:ascii="Arial" w:cs="Arial" w:eastAsia="Arial" w:hAnsi="Arial"/>
                <w:sz w:val="17"/>
                <w:szCs w:val="17"/>
                <w:color w:val="auto"/>
              </w:rPr>
              <w:t>Federal</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(5,670)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(983)</w:t>
            </w:r>
          </w:p>
        </w:tc>
      </w:tr>
      <w:tr>
        <w:trPr>
          <w:trHeight w:val="220"/>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11"/>
        </w:trPr>
        <w:tc>
          <w:tcPr>
            <w:tcW w:w="682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(1,145)</w:t>
            </w:r>
          </w:p>
        </w:tc>
      </w:tr>
      <w:tr>
        <w:trPr>
          <w:trHeight w:val="23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(8,774)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actual (benefit) provision for income taxes from continuing operations differs from the statutory U.S. federal income tax rate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89"/>
              </w:rPr>
              <w:t>Year Ended</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11"/>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i w:val="1"/>
                <w:iCs w:val="1"/>
                <w:color w:val="auto"/>
                <w:w w:val="88"/>
              </w:rPr>
              <w:t>As restated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May 29, 2022</w:t>
            </w:r>
          </w:p>
        </w:tc>
        <w:tc>
          <w:tcPr>
            <w:tcW w:w="16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May 30, 2021</w:t>
            </w:r>
          </w:p>
        </w:tc>
        <w:tc>
          <w:tcPr>
            <w:tcW w:w="1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31, 2020</w:t>
            </w:r>
          </w:p>
        </w:tc>
      </w:tr>
      <w:tr>
        <w:trPr>
          <w:trHeight w:val="21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at U.S. statutory rate (1)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(14,548)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(6,435)</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State income taxes, net of federal benefit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(1,048)</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reform/CARES Act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(2,770)</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Change in valuation allowance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10,134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2,014</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credit carryforwards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Other compensation-related activity</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334</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of goodwill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Foreign rate differential</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(986)</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3"/>
        </w:trPr>
        <w:tc>
          <w:tcPr>
            <w:tcW w:w="6820" w:type="dxa"/>
            <w:vAlign w:val="bottom"/>
          </w:tcPr>
          <w:p>
            <w:pPr>
              <w:ind w:left="140"/>
              <w:spacing w:after="0"/>
              <w:rPr>
                <w:sz w:val="20"/>
                <w:szCs w:val="20"/>
                <w:color w:val="auto"/>
              </w:rPr>
            </w:pPr>
            <w:r>
              <w:rPr>
                <w:rFonts w:ascii="Arial" w:cs="Arial" w:eastAsia="Arial" w:hAnsi="Arial"/>
                <w:sz w:val="17"/>
                <w:szCs w:val="17"/>
                <w:color w:val="auto"/>
              </w:rPr>
              <w:t>Income tax benefit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(8,774)</w:t>
            </w: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Statutory rate was 21.0% for fiscal year 2022, 2021 and 2020.</w:t>
      </w:r>
    </w:p>
    <w:p>
      <w:pPr>
        <w:spacing w:after="0" w:line="243"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color w:val="auto"/>
        </w:rPr>
        <w:t>The effective tax rate for fiscal year 2022 changed from a tax provision benefit of 16.59% to a tax provision benefit of 8.56%, as restated, in comparison to fiscal year 2021 after adjustment for discontinued operations. The decrease in the effective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4" w:name="page85"/>
    <w:bookmarkEnd w:id="84"/>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tax rate for fiscal year 2022 was primarily due to a significant valuation allowance increase and the impairment of Yucatan Foods goodwill, customer relations intangible assets, and property and equipment. The income tax benefit from discontinued operations for fiscal years 2022, 2021, and 2020 of $0.1 million, $5.9 million, and $4.3 million are not included in the above income tax benefit from continuing operations.</w:t>
      </w:r>
    </w:p>
    <w:p>
      <w:pPr>
        <w:spacing w:after="0" w:line="195"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7"/>
          <w:szCs w:val="17"/>
          <w:color w:val="auto"/>
        </w:rPr>
        <w:t>The effective tax rate for fiscal year 2021 changed from a tax provision benefit of 28.63% to a tax provision benefit of 16.59% in comparison to fiscal year 2020 after adjustment for discontinued operations. The decrease in the income tax benefit for fiscal year 2021 was primarily due to significant decrease in the Company's loss before tax from continuing operations, and the increase in change in valuation allowance which offsets federal and state research and development credits, and $2.8 million of NOL carryback benefit applied only for fiscal year 2020.</w:t>
      </w:r>
    </w:p>
    <w:p>
      <w:pPr>
        <w:spacing w:after="0" w:line="1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March 27, 2020, the Coronavirus Aid, Relief, and Economic Security Act (the “CARES Act”) was signed into law. The CARES Act includes, among other items,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CARES Act allows losses incurred in tax years 2018, 2019, and 2020 to be carried back to each of the five preceding tax years and to offset 100% of regular taxable income. Additionally, the CARES Act accelerates the Company’s ability to receive refunds of alternative minimum tax credits generated in prior tax years. In fiscal year 2020, the Company was able to benefit net operating losses generated in fiscal year 2019 and fiscal year 2020 at the 21% federal statutory rate in effect for those years and carried back to tax years with a 35% federal statutory rate thus recognizing a tax provision benefit of $2.8 million during the year ended May 31, 2020.</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Significant components of deferred tax assets and liabilities reported in the accompanying Consolidated Balance Sheets consisted of the following:</w:t>
      </w:r>
    </w:p>
    <w:p>
      <w:pPr>
        <w:spacing w:after="0" w:line="241" w:lineRule="exact"/>
        <w:rPr>
          <w:sz w:val="20"/>
          <w:szCs w:val="20"/>
          <w:color w:val="auto"/>
        </w:rPr>
      </w:pPr>
    </w:p>
    <w:tbl>
      <w:tblPr>
        <w:tblLayout w:type="fixed"/>
        <w:tblInd w:w="620" w:type="dxa"/>
        <w:tblCellMar>
          <w:top w:w="0" w:type="dxa"/>
          <w:left w:w="0" w:type="dxa"/>
          <w:bottom w:w="0" w:type="dxa"/>
          <w:right w:w="0" w:type="dxa"/>
        </w:tblCellMar>
      </w:tblPr>
      <w:tr>
        <w:trPr>
          <w:trHeight w:val="218"/>
        </w:trPr>
        <w:tc>
          <w:tcPr>
            <w:tcW w:w="688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7"/>
                <w:szCs w:val="17"/>
                <w:color w:val="auto"/>
              </w:rPr>
              <w:t>Year Ended</w:t>
            </w:r>
          </w:p>
        </w:tc>
      </w:tr>
      <w:tr>
        <w:trPr>
          <w:trHeight w:val="211"/>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i w:val="1"/>
                <w:iCs w:val="1"/>
                <w:color w:val="auto"/>
                <w:w w:val="88"/>
              </w:rPr>
              <w:t>As restated</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May 29, 2022</w:t>
            </w:r>
          </w:p>
        </w:tc>
        <w:tc>
          <w:tcPr>
            <w:tcW w:w="16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7"/>
                <w:szCs w:val="17"/>
                <w:color w:val="auto"/>
                <w:w w:val="97"/>
              </w:rPr>
              <w:t>May 30, 2021</w:t>
            </w:r>
          </w:p>
        </w:tc>
      </w:tr>
      <w:tr>
        <w:trPr>
          <w:trHeight w:val="200"/>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8"/>
        </w:trPr>
        <w:tc>
          <w:tcPr>
            <w:tcW w:w="6880" w:type="dxa"/>
            <w:vAlign w:val="bottom"/>
          </w:tcPr>
          <w:p>
            <w:pPr>
              <w:ind w:left="140"/>
              <w:spacing w:after="0"/>
              <w:rPr>
                <w:sz w:val="20"/>
                <w:szCs w:val="20"/>
                <w:color w:val="auto"/>
              </w:rPr>
            </w:pPr>
            <w:r>
              <w:rPr>
                <w:rFonts w:ascii="Arial" w:cs="Arial" w:eastAsia="Arial" w:hAnsi="Arial"/>
                <w:sz w:val="17"/>
                <w:szCs w:val="17"/>
                <w:color w:val="auto"/>
              </w:rPr>
              <w:t>Accruals and reserves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3,366</w:t>
            </w:r>
          </w:p>
        </w:tc>
      </w:tr>
      <w:tr>
        <w:trPr>
          <w:trHeight w:val="220"/>
        </w:trPr>
        <w:tc>
          <w:tcPr>
            <w:tcW w:w="6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operating loss carryforwards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21,916</w:t>
            </w:r>
          </w:p>
        </w:tc>
      </w:tr>
      <w:tr>
        <w:trPr>
          <w:trHeight w:val="218"/>
        </w:trPr>
        <w:tc>
          <w:tcPr>
            <w:tcW w:w="6880" w:type="dxa"/>
            <w:vAlign w:val="bottom"/>
          </w:tcPr>
          <w:p>
            <w:pPr>
              <w:ind w:left="14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1,123</w:t>
            </w:r>
          </w:p>
        </w:tc>
      </w:tr>
      <w:tr>
        <w:trPr>
          <w:trHeight w:val="220"/>
        </w:trPr>
        <w:tc>
          <w:tcPr>
            <w:tcW w:w="6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AMT credit carryforwards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5,150</w:t>
            </w:r>
          </w:p>
        </w:tc>
      </w:tr>
      <w:tr>
        <w:trPr>
          <w:trHeight w:val="218"/>
        </w:trPr>
        <w:tc>
          <w:tcPr>
            <w:tcW w:w="6880" w:type="dxa"/>
            <w:vAlign w:val="bottom"/>
          </w:tcPr>
          <w:p>
            <w:pPr>
              <w:ind w:left="140"/>
              <w:spacing w:after="0"/>
              <w:rPr>
                <w:sz w:val="20"/>
                <w:szCs w:val="20"/>
                <w:color w:val="auto"/>
              </w:rPr>
            </w:pPr>
            <w:r>
              <w:rPr>
                <w:rFonts w:ascii="Arial" w:cs="Arial" w:eastAsia="Arial" w:hAnsi="Arial"/>
                <w:sz w:val="17"/>
                <w:szCs w:val="17"/>
                <w:color w:val="auto"/>
              </w:rPr>
              <w:t>Lease liability</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5,902</w:t>
            </w:r>
          </w:p>
        </w:tc>
      </w:tr>
      <w:tr>
        <w:trPr>
          <w:trHeight w:val="220"/>
        </w:trPr>
        <w:tc>
          <w:tcPr>
            <w:tcW w:w="6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Limitations on business interest expense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2,411</w:t>
            </w:r>
          </w:p>
        </w:tc>
      </w:tr>
      <w:tr>
        <w:trPr>
          <w:trHeight w:val="218"/>
        </w:trPr>
        <w:tc>
          <w:tcPr>
            <w:tcW w:w="6880" w:type="dxa"/>
            <w:vAlign w:val="bottom"/>
          </w:tcPr>
          <w:p>
            <w:pPr>
              <w:ind w:left="140"/>
              <w:spacing w:after="0"/>
              <w:rPr>
                <w:sz w:val="20"/>
                <w:szCs w:val="20"/>
                <w:color w:val="auto"/>
              </w:rPr>
            </w:pPr>
            <w:r>
              <w:rPr>
                <w:rFonts w:ascii="Arial" w:cs="Arial" w:eastAsia="Arial" w:hAnsi="Arial"/>
                <w:sz w:val="17"/>
                <w:szCs w:val="17"/>
                <w:color w:val="auto"/>
              </w:rPr>
              <w:t>Goodwill and other indefinite life intangibles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927</w:t>
            </w:r>
          </w:p>
        </w:tc>
      </w:tr>
      <w:tr>
        <w:trPr>
          <w:trHeight w:val="211"/>
        </w:trPr>
        <w:tc>
          <w:tcPr>
            <w:tcW w:w="6880" w:type="dxa"/>
            <w:vAlign w:val="bottom"/>
          </w:tcPr>
          <w:p>
            <w:pPr>
              <w:ind w:left="20"/>
              <w:spacing w:after="0"/>
              <w:rPr>
                <w:sz w:val="20"/>
                <w:szCs w:val="20"/>
                <w:color w:val="auto"/>
              </w:rPr>
            </w:pPr>
            <w:r>
              <w:rPr>
                <w:rFonts w:ascii="Arial" w:cs="Arial" w:eastAsia="Arial" w:hAnsi="Arial"/>
                <w:sz w:val="17"/>
                <w:szCs w:val="17"/>
                <w:color w:val="auto"/>
              </w:rPr>
              <w:t>Gross deferred tax assets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46,530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40,795</w:t>
            </w:r>
          </w:p>
        </w:tc>
      </w:tr>
      <w:tr>
        <w:trPr>
          <w:trHeight w:val="220"/>
        </w:trPr>
        <w:tc>
          <w:tcPr>
            <w:tcW w:w="6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Valuation allowance</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(10,460)</w:t>
            </w:r>
          </w:p>
        </w:tc>
      </w:tr>
      <w:tr>
        <w:trPr>
          <w:trHeight w:val="211"/>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deferred tax assets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30,335</w:t>
            </w:r>
          </w:p>
        </w:tc>
      </w:tr>
      <w:tr>
        <w:trPr>
          <w:trHeight w:val="239"/>
        </w:trPr>
        <w:tc>
          <w:tcPr>
            <w:tcW w:w="6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8"/>
        </w:trPr>
        <w:tc>
          <w:tcPr>
            <w:tcW w:w="688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(16,600)</w:t>
            </w:r>
          </w:p>
        </w:tc>
      </w:tr>
      <w:tr>
        <w:trPr>
          <w:trHeight w:val="218"/>
        </w:trPr>
        <w:tc>
          <w:tcPr>
            <w:tcW w:w="6880" w:type="dxa"/>
            <w:vAlign w:val="bottom"/>
          </w:tcPr>
          <w:p>
            <w:pPr>
              <w:ind w:left="140"/>
              <w:spacing w:after="0"/>
              <w:rPr>
                <w:sz w:val="20"/>
                <w:szCs w:val="20"/>
                <w:color w:val="auto"/>
              </w:rPr>
            </w:pPr>
            <w:r>
              <w:rPr>
                <w:rFonts w:ascii="Arial" w:cs="Arial" w:eastAsia="Arial" w:hAnsi="Arial"/>
                <w:sz w:val="17"/>
                <w:szCs w:val="17"/>
                <w:color w:val="auto"/>
              </w:rPr>
              <w:t>Goodwill and other indefinite life intangibles</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(13,406)</w:t>
            </w:r>
          </w:p>
        </w:tc>
      </w:tr>
      <w:tr>
        <w:trPr>
          <w:trHeight w:val="220"/>
        </w:trPr>
        <w:tc>
          <w:tcPr>
            <w:tcW w:w="6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Basis difference in investment in non-public company</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w:t>
            </w:r>
          </w:p>
        </w:tc>
      </w:tr>
      <w:tr>
        <w:trPr>
          <w:trHeight w:val="218"/>
        </w:trPr>
        <w:tc>
          <w:tcPr>
            <w:tcW w:w="68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Right of use asset</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(5,087)</w:t>
            </w:r>
          </w:p>
        </w:tc>
      </w:tr>
      <w:tr>
        <w:trPr>
          <w:trHeight w:val="212"/>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(36,475)</w:t>
            </w:r>
          </w:p>
        </w:tc>
      </w:tr>
      <w:tr>
        <w:trPr>
          <w:trHeight w:val="239"/>
        </w:trPr>
        <w:tc>
          <w:tcPr>
            <w:tcW w:w="68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37"/>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(6,140)</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effective tax rates for fiscal years 2022 and 2021 differ from the blended statutory federal income tax rate of 21% as a result of several factors, including the change in valuation allowance related with federal, state and foreign deferred balances,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5" w:name="page86"/>
    <w:bookmarkEnd w:id="85"/>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foreign rate differential, change in ending state deferred blended rate, impairment of goodwill and intangibles, and the benefit of federal and state research and development credits.</w:t>
      </w:r>
    </w:p>
    <w:p>
      <w:pPr>
        <w:spacing w:after="0" w:line="19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effective tax rates for fiscal year 2020 differ from the blended statutory federal income tax rate of 21% as a result of several factors, including carryback of net operating losses, the change in valuation allowance related with state and foreign deferred balances, foreign rate differential, change in ending state deferred blended rate, impairment of goodwill and fixed assets, and the benefit of federal and state research and development credits.</w:t>
      </w:r>
    </w:p>
    <w:p>
      <w:pPr>
        <w:spacing w:after="0" w:line="13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May 29, 2022, the Company had federal, foreign, California, Indiana, and other state net operating loss carryforwards of approximately $74.1 million, $25.9 million, $38.1 million, $30.6 million, and $21.0 million, respectively. These losses expire in different periods through 2032, if not utilized. The Company acquired additional net operating losses through the acquisition of Greenline. Utilization of these acquired net operating losses in a specific year is limited due to the “change in ownership” provision of the Internal Revenue Code of 1986 and similar state provisions. The net operating losses presented above for federal and state purposes is net of any such limitation.</w:t>
      </w:r>
    </w:p>
    <w:p>
      <w:pPr>
        <w:spacing w:after="0" w:line="14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of May 29, 2022, the Company has federal, California, and Minnesota research and development tax credit carryforwards of approximately $2.8 million, $2.1 million, and $1.4 million, respectively. The research and development tax credit carryforwards have an unlimited carryforward period for California purposes, 20 year carryforward for federal purposes, and 15 year carryforward for Minnesota purposes.</w:t>
      </w:r>
    </w:p>
    <w:p>
      <w:pPr>
        <w:spacing w:after="0" w:line="136"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Valuation allowances are reviewed each period on a tax jurisdiction by jurisdiction basis to analyze whether there is sufficient positive or negative evidence to support a change in judgment about the realizability of the related deferred tax assets. Based on this analysis and considering all positive and negative evidence, we determined that as of May 29, 2022, a valuation allowance of $19.1 million (as restated), $8.8 million (as restated), and $8.1 million should be recorded as a result of uncertainty around the utilization of federal, state, and foreign net operating losses, and federal capital loss carryforward.</w:t>
      </w:r>
    </w:p>
    <w:p>
      <w:pPr>
        <w:spacing w:after="0" w:line="13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accounting for uncertainty in income taxes recognized in an enterprise’s financial statements prescribes a recognition threshold and measurement attribute for the financial statement recognition and measurement of a tax position taken or expected to be taken in a tax return, and the derecognition of tax benefits, classification on the balance sheet, interest and penalties, accounting in interim periods, disclosure, and transition.</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reconciliation of the beginning and ending amount of unrecognized tax benefits is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89"/>
              </w:rPr>
              <w:t>Year Ended</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2"/>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auto"/>
              </w:rPr>
              <w:t>May 29, 2022</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May 30, 2021</w:t>
            </w:r>
          </w:p>
        </w:tc>
        <w:tc>
          <w:tcPr>
            <w:tcW w:w="16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Arial" w:cs="Arial" w:eastAsia="Arial" w:hAnsi="Arial"/>
                <w:sz w:val="17"/>
                <w:szCs w:val="17"/>
                <w:color w:val="auto"/>
              </w:rPr>
              <w:t>May 31, 2020</w:t>
            </w:r>
          </w:p>
        </w:tc>
      </w:tr>
      <w:tr>
        <w:trPr>
          <w:trHeight w:val="21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Unrecognized tax benefits – beginning of the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rPr>
              <w:t>616</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Gross increases – tax positions in prior period</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ind w:left="920"/>
              <w:spacing w:after="0"/>
              <w:rPr>
                <w:sz w:val="20"/>
                <w:szCs w:val="20"/>
                <w:color w:val="auto"/>
              </w:rPr>
            </w:pPr>
            <w:r>
              <w:rPr>
                <w:rFonts w:ascii="Arial" w:cs="Arial" w:eastAsia="Arial" w:hAnsi="Arial"/>
                <w:sz w:val="17"/>
                <w:szCs w:val="17"/>
                <w:color w:val="auto"/>
              </w:rPr>
              <w:t>101</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decreases – tax positions in prior period</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ind w:left="940"/>
              <w:spacing w:after="0"/>
              <w:rPr>
                <w:sz w:val="20"/>
                <w:szCs w:val="20"/>
                <w:color w:val="auto"/>
              </w:rPr>
            </w:pPr>
            <w:r>
              <w:rPr>
                <w:rFonts w:ascii="Arial" w:cs="Arial" w:eastAsia="Arial" w:hAnsi="Arial"/>
                <w:sz w:val="17"/>
                <w:szCs w:val="17"/>
                <w:color w:val="auto"/>
                <w:w w:val="92"/>
              </w:rPr>
              <w:t>(11)</w:t>
            </w:r>
          </w:p>
        </w:tc>
      </w:tr>
      <w:tr>
        <w:trPr>
          <w:trHeight w:val="21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increases – current-period tax positions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121</w:t>
            </w:r>
          </w:p>
        </w:tc>
      </w:tr>
      <w:tr>
        <w:trPr>
          <w:trHeight w:val="23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Unrecognized tax benefits – 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rPr>
              <w:t>827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As of May 29, 2022 the total amount of net unrecognized tax benefits is $1.0 million, of which, $0.9 million, if recognized, would affect the effective tax rate. The Company accrues interest and penalties related to unrecognized tax benefits in its provision for income taxes. The total amount of penalties and interest is not material as of May 29, 2022. The Company does not expect its unrecognized tax benefits to decrease within the next twelve months.</w:t>
      </w:r>
    </w:p>
    <w:p>
      <w:pPr>
        <w:spacing w:after="0" w:line="11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Due to tax attribute carryforwards, the Company is subject to examination for tax years 2013 forward for U.S. tax purposes. The Company was also subject to examination in various state jurisdictions for tax years 2012 forward, none of which were individually material.</w:t>
      </w:r>
    </w:p>
    <w:p>
      <w:pPr>
        <w:spacing w:after="0" w:line="18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4"/>
          <w:szCs w:val="14"/>
          <w:b w:val="1"/>
          <w:bCs w:val="1"/>
          <w:color w:val="auto"/>
        </w:rPr>
        <w:t>Leases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7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has entered into various non-cancellable operating lease agreements for manufacturing and distribution facilities, vehicles, equipment and office space. Right-of-use assets represent the Company’s right to use an underlying asset for the lease term and lease liabilities represent the Company’s obligation to make lease payments arising from the lease. Right-of-use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6" w:name="page87"/>
    <w:bookmarkEnd w:id="86"/>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assets and liabilities are recognized at the lease commencement date based on the estimated present value of lease payments over the lease term. Landec leases facilities and equipment under operating lease agreements with various terms and conditions, which expire at various dates through fiscal year 2033. Certain of these leases have renewal options.</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Finance Leases</w:t>
      </w:r>
    </w:p>
    <w:p>
      <w:pPr>
        <w:spacing w:after="0" w:line="178"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On September 3, 2015, Lifecore leased an 80,950 square foot building in Chaska, MN, two miles from its current facility. The initial term of the lease is seven years with two five-year renewal options. The lease contains a buyout option at any time after year seven with the purchase price equal to the mortgage balance on the lessor’s loan secured by the building. Gross assets recorded under finance leases, included in property and equipment, net, were $3.8 million as of both May 29, 2022 and May 30, 2021. Accumulated amortization associated with finance leases was $0.7 million and $0.6 million as of May 29, 2022 and May 30, 2021, respectively. The monthly lease payment was initially $34,000 and increases by 2.4% per year. Lifecore and the lessor made capital improvements prior to occupancy and thus the lease did not become effective until January 1, 2016. Lifecore is currently using the building for warehousing and final packaging.</w:t>
      </w:r>
    </w:p>
    <w:p>
      <w:pPr>
        <w:sectPr>
          <w:pgSz w:w="11900" w:h="16838" w:orient="portrait"/>
          <w:cols w:equalWidth="0" w:num="1">
            <w:col w:w="11240"/>
          </w:cols>
          <w:pgMar w:left="320" w:top="295" w:right="339" w:bottom="1440" w:gutter="0" w:footer="0" w:header="0"/>
        </w:sectPr>
      </w:pPr>
    </w:p>
    <w:p>
      <w:pPr>
        <w:spacing w:after="0" w:line="129" w:lineRule="exact"/>
        <w:rPr>
          <w:sz w:val="20"/>
          <w:szCs w:val="20"/>
          <w:color w:val="auto"/>
        </w:rPr>
      </w:pPr>
    </w:p>
    <w:p>
      <w:pPr>
        <w:jc w:val="right"/>
        <w:ind w:right="3240"/>
        <w:spacing w:after="0"/>
        <w:rPr>
          <w:sz w:val="20"/>
          <w:szCs w:val="20"/>
          <w:color w:val="auto"/>
        </w:rPr>
      </w:pPr>
      <w:r>
        <w:rPr>
          <w:rFonts w:ascii="Arial" w:cs="Arial" w:eastAsia="Arial" w:hAnsi="Arial"/>
          <w:sz w:val="17"/>
          <w:szCs w:val="17"/>
          <w:color w:val="auto"/>
        </w:rPr>
        <w:t>The components of lease cost were as follows:</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(In thousands, except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031990" cy="139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3199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Finance lease cost:</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Amortization of leased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031990" cy="139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31990"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Interest on lease liabilities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031990" cy="139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31990"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Variable lease cost and other</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031990" cy="163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31990" cy="16383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031990" cy="139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31990" cy="13906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Weighted-average remaining lease term:</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031990" cy="139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31990"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Finance leases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031990" cy="1390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31990"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Operating leases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Finance leases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Year Ended</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Year Ended</w:t>
            </w:r>
          </w:p>
        </w:tc>
      </w:tr>
      <w:tr>
        <w:trPr>
          <w:trHeight w:val="212"/>
        </w:trPr>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May 29, 2022</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May 30, 2021</w:t>
            </w:r>
          </w:p>
        </w:tc>
      </w:tr>
      <w:tr>
        <w:trPr>
          <w:trHeight w:val="418"/>
        </w:trPr>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113</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117</w:t>
            </w:r>
          </w:p>
        </w:tc>
      </w:tr>
      <w:tr>
        <w:trPr>
          <w:trHeight w:val="219"/>
        </w:trPr>
        <w:tc>
          <w:tcPr>
            <w:tcW w:w="22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335</w:t>
            </w:r>
          </w:p>
        </w:tc>
        <w:tc>
          <w:tcPr>
            <w:tcW w:w="24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348</w:t>
            </w:r>
          </w:p>
        </w:tc>
      </w:tr>
      <w:tr>
        <w:trPr>
          <w:trHeight w:val="219"/>
        </w:trPr>
        <w:tc>
          <w:tcPr>
            <w:tcW w:w="22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2,212</w:t>
            </w:r>
          </w:p>
        </w:tc>
        <w:tc>
          <w:tcPr>
            <w:tcW w:w="24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2,291</w:t>
            </w:r>
          </w:p>
        </w:tc>
      </w:tr>
      <w:tr>
        <w:trPr>
          <w:trHeight w:val="219"/>
        </w:trPr>
        <w:tc>
          <w:tcPr>
            <w:tcW w:w="22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134</w:t>
            </w:r>
          </w:p>
        </w:tc>
        <w:tc>
          <w:tcPr>
            <w:tcW w:w="24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15</w:t>
            </w:r>
          </w:p>
        </w:tc>
      </w:tr>
      <w:tr>
        <w:trPr>
          <w:trHeight w:val="220"/>
        </w:trPr>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(90)</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(90)</w:t>
            </w:r>
          </w:p>
        </w:tc>
      </w:tr>
      <w:tr>
        <w:trPr>
          <w:trHeight w:val="212"/>
        </w:trPr>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2,704</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2,681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61"/>
        </w:trPr>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7.41</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14.35</w:t>
            </w:r>
          </w:p>
        </w:tc>
      </w:tr>
      <w:tr>
        <w:trPr>
          <w:trHeight w:val="219"/>
        </w:trPr>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0.59</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438"/>
        </w:trPr>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4.78 %</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5.00 %</w:t>
            </w:r>
          </w:p>
        </w:tc>
      </w:tr>
      <w:tr>
        <w:trPr>
          <w:trHeight w:val="219"/>
        </w:trPr>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10.00 %</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10.00 %</w:t>
            </w:r>
          </w:p>
        </w:tc>
      </w:tr>
    </w:tbl>
    <w:p>
      <w:pPr>
        <w:spacing w:after="0" w:line="200" w:lineRule="exact"/>
        <w:rPr>
          <w:sz w:val="20"/>
          <w:szCs w:val="20"/>
          <w:color w:val="auto"/>
        </w:rPr>
      </w:pPr>
    </w:p>
    <w:p>
      <w:pPr>
        <w:sectPr>
          <w:pgSz w:w="11900" w:h="16838" w:orient="portrait"/>
          <w:cols w:equalWidth="0" w:num="2">
            <w:col w:w="7060" w:space="720"/>
            <w:col w:w="3460"/>
          </w:cols>
          <w:pgMar w:left="320" w:top="295" w:right="339" w:bottom="1440" w:gutter="0" w:footer="0" w:header="0"/>
          <w:type w:val="continuous"/>
        </w:sectPr>
      </w:pPr>
    </w:p>
    <w:p>
      <w:pPr>
        <w:spacing w:after="0" w:line="99" w:lineRule="exact"/>
        <w:rPr>
          <w:sz w:val="20"/>
          <w:szCs w:val="20"/>
          <w:color w:val="auto"/>
        </w:rPr>
      </w:pPr>
    </w:p>
    <w:p>
      <w:pPr>
        <w:ind w:firstLine="619"/>
        <w:spacing w:after="0" w:line="276" w:lineRule="auto"/>
        <w:rPr>
          <w:sz w:val="20"/>
          <w:szCs w:val="20"/>
          <w:color w:val="auto"/>
        </w:rPr>
      </w:pPr>
      <w:r>
        <w:rPr>
          <w:rFonts w:ascii="Arial" w:cs="Arial" w:eastAsia="Arial" w:hAnsi="Arial"/>
          <w:sz w:val="17"/>
          <w:szCs w:val="17"/>
          <w:color w:val="auto"/>
        </w:rPr>
        <w:t>The Company’s leases have original lease periods ending between 2022 and 2033. The Company’s maturity analysis of operating and finance lease liabilities as of May 29, 2022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6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300" w:type="dxa"/>
            <w:vAlign w:val="bottom"/>
          </w:tcPr>
          <w:p>
            <w:pPr>
              <w:spacing w:after="0"/>
              <w:rPr>
                <w:sz w:val="18"/>
                <w:szCs w:val="18"/>
                <w:color w:val="auto"/>
              </w:rPr>
            </w:pPr>
          </w:p>
        </w:tc>
        <w:tc>
          <w:tcPr>
            <w:tcW w:w="2040" w:type="dxa"/>
            <w:vAlign w:val="bottom"/>
            <w:gridSpan w:val="2"/>
          </w:tcPr>
          <w:p>
            <w:pPr>
              <w:ind w:left="200"/>
              <w:spacing w:after="0"/>
              <w:rPr>
                <w:sz w:val="20"/>
                <w:szCs w:val="20"/>
                <w:color w:val="auto"/>
              </w:rPr>
            </w:pPr>
            <w:r>
              <w:rPr>
                <w:rFonts w:ascii="Arial" w:cs="Arial" w:eastAsia="Arial" w:hAnsi="Arial"/>
                <w:sz w:val="17"/>
                <w:szCs w:val="17"/>
                <w:color w:val="auto"/>
              </w:rPr>
              <w:t>Operating Leases</w:t>
            </w:r>
          </w:p>
        </w:tc>
        <w:tc>
          <w:tcPr>
            <w:tcW w:w="1660" w:type="dxa"/>
            <w:vAlign w:val="bottom"/>
          </w:tcPr>
          <w:p>
            <w:pPr>
              <w:jc w:val="right"/>
              <w:spacing w:after="0"/>
              <w:rPr>
                <w:sz w:val="20"/>
                <w:szCs w:val="20"/>
                <w:color w:val="auto"/>
              </w:rPr>
            </w:pPr>
            <w:r>
              <w:rPr>
                <w:rFonts w:ascii="Arial" w:cs="Arial" w:eastAsia="Arial" w:hAnsi="Arial"/>
                <w:sz w:val="17"/>
                <w:szCs w:val="17"/>
                <w:color w:val="auto"/>
              </w:rPr>
              <w:t>Finance Leases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834"/>
              <w:spacing w:after="0"/>
              <w:rPr>
                <w:sz w:val="20"/>
                <w:szCs w:val="20"/>
                <w:color w:val="auto"/>
              </w:rPr>
            </w:pPr>
            <w:r>
              <w:rPr>
                <w:rFonts w:ascii="Arial" w:cs="Arial" w:eastAsia="Arial" w:hAnsi="Arial"/>
                <w:sz w:val="17"/>
                <w:szCs w:val="17"/>
                <w:color w:val="auto"/>
              </w:rPr>
              <w:t>Total</w:t>
            </w:r>
          </w:p>
        </w:tc>
      </w:tr>
      <w:tr>
        <w:trPr>
          <w:trHeight w:val="21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2,330</w:t>
            </w:r>
          </w:p>
        </w:tc>
        <w:tc>
          <w:tcPr>
            <w:tcW w:w="1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1454"/>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3,475</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5,805</w:t>
            </w:r>
          </w:p>
        </w:tc>
      </w:tr>
      <w:tr>
        <w:trPr>
          <w:trHeight w:val="218"/>
        </w:trPr>
        <w:tc>
          <w:tcPr>
            <w:tcW w:w="4360" w:type="dxa"/>
            <w:vAlign w:val="bottom"/>
          </w:tcPr>
          <w:p>
            <w:pPr>
              <w:ind w:left="20"/>
              <w:spacing w:after="0"/>
              <w:rPr>
                <w:sz w:val="20"/>
                <w:szCs w:val="20"/>
                <w:color w:val="auto"/>
              </w:rPr>
            </w:pPr>
            <w:r>
              <w:rPr>
                <w:rFonts w:ascii="Arial" w:cs="Arial" w:eastAsia="Arial" w:hAnsi="Arial"/>
                <w:sz w:val="17"/>
                <w:szCs w:val="17"/>
                <w:color w:val="auto"/>
              </w:rPr>
              <w:t>2024</w:t>
            </w: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2,243</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2,253</w:t>
            </w:r>
          </w:p>
        </w:tc>
      </w:tr>
      <w:tr>
        <w:trPr>
          <w:trHeight w:val="220"/>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w:t>
            </w:r>
          </w:p>
        </w:tc>
      </w:tr>
      <w:tr>
        <w:trPr>
          <w:trHeight w:val="218"/>
        </w:trPr>
        <w:tc>
          <w:tcPr>
            <w:tcW w:w="4360" w:type="dxa"/>
            <w:vAlign w:val="bottom"/>
          </w:tcPr>
          <w:p>
            <w:pPr>
              <w:ind w:left="20"/>
              <w:spacing w:after="0"/>
              <w:rPr>
                <w:sz w:val="20"/>
                <w:szCs w:val="20"/>
                <w:color w:val="auto"/>
              </w:rPr>
            </w:pPr>
            <w:r>
              <w:rPr>
                <w:rFonts w:ascii="Arial" w:cs="Arial" w:eastAsia="Arial" w:hAnsi="Arial"/>
                <w:sz w:val="17"/>
                <w:szCs w:val="17"/>
                <w:color w:val="auto"/>
              </w:rPr>
              <w:t>2026</w:t>
            </w: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1,928</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1,928</w:t>
            </w:r>
          </w:p>
        </w:tc>
      </w:tr>
      <w:tr>
        <w:trPr>
          <w:trHeight w:val="220"/>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w:t>
            </w:r>
          </w:p>
        </w:tc>
      </w:tr>
      <w:tr>
        <w:trPr>
          <w:trHeight w:val="218"/>
        </w:trPr>
        <w:tc>
          <w:tcPr>
            <w:tcW w:w="436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3,793</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3,793</w:t>
            </w:r>
          </w:p>
        </w:tc>
      </w:tr>
      <w:tr>
        <w:trPr>
          <w:trHeight w:val="21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3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13,705</w:t>
            </w:r>
          </w:p>
        </w:tc>
        <w:tc>
          <w:tcPr>
            <w:tcW w:w="1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3,485</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17,190</w:t>
            </w:r>
          </w:p>
        </w:tc>
      </w:tr>
      <w:tr>
        <w:trPr>
          <w:trHeight w:val="218"/>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interest</w:t>
            </w: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(1,991)</w:t>
            </w:r>
          </w:p>
        </w:tc>
        <w:tc>
          <w:tcPr>
            <w:tcW w:w="1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(2,181)</w:t>
            </w:r>
          </w:p>
        </w:tc>
      </w:tr>
      <w:tr>
        <w:trPr>
          <w:trHeight w:val="213"/>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3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11,714</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15,009</w:t>
            </w:r>
          </w:p>
        </w:tc>
      </w:tr>
      <w:tr>
        <w:trPr>
          <w:trHeight w:val="218"/>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obligation of lease liabilities</w:t>
            </w: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(1,743)</w:t>
            </w:r>
          </w:p>
        </w:tc>
        <w:tc>
          <w:tcPr>
            <w:tcW w:w="1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(3,283)</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(5,026)</w:t>
            </w: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long-term lease liabilities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9,971</w:t>
            </w: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145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9,983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Supplemental cash flow information related to leases are as follows: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684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829"/>
        </w:trPr>
        <w:tc>
          <w:tcPr>
            <w:tcW w:w="62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5620" w:type="dxa"/>
            <w:vAlign w:val="bottom"/>
          </w:tcPr>
          <w:p>
            <w:pPr>
              <w:spacing w:after="0"/>
              <w:rPr>
                <w:sz w:val="24"/>
                <w:szCs w:val="24"/>
                <w:color w:val="auto"/>
              </w:rPr>
            </w:pP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Year Ended</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Year Ended</w:t>
            </w:r>
          </w:p>
        </w:tc>
      </w:tr>
      <w:tr>
        <w:trPr>
          <w:trHeight w:val="213"/>
        </w:trPr>
        <w:tc>
          <w:tcPr>
            <w:tcW w:w="74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i w:val="1"/>
                <w:iCs w:val="1"/>
                <w:color w:val="auto"/>
              </w:rPr>
              <w:t>(in thousands)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May 29, 2022</w:t>
            </w: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May 30, 2021</w:t>
            </w:r>
          </w:p>
        </w:tc>
      </w:tr>
      <w:tr>
        <w:trPr>
          <w:trHeight w:val="200"/>
        </w:trPr>
        <w:tc>
          <w:tcPr>
            <w:tcW w:w="7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8"/>
        </w:trPr>
        <w:tc>
          <w:tcPr>
            <w:tcW w:w="7460" w:type="dxa"/>
            <w:vAlign w:val="bottom"/>
            <w:gridSpan w:val="3"/>
          </w:tcPr>
          <w:p>
            <w:pPr>
              <w:ind w:left="120"/>
              <w:spacing w:after="0"/>
              <w:rPr>
                <w:sz w:val="20"/>
                <w:szCs w:val="20"/>
                <w:color w:val="auto"/>
              </w:rPr>
            </w:pPr>
            <w:r>
              <w:rPr>
                <w:rFonts w:ascii="Arial" w:cs="Arial" w:eastAsia="Arial" w:hAnsi="Arial"/>
                <w:sz w:val="17"/>
                <w:szCs w:val="17"/>
                <w:color w:val="auto"/>
              </w:rPr>
              <w:t>Operating cash flows from operating leases</w:t>
            </w:r>
          </w:p>
        </w:tc>
        <w:tc>
          <w:tcPr>
            <w:tcW w:w="1440" w:type="dxa"/>
            <w:vAlign w:val="bottom"/>
          </w:tcPr>
          <w:p>
            <w:pPr>
              <w:jc w:val="right"/>
              <w:ind w:right="123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2,454</w:t>
            </w:r>
          </w:p>
        </w:tc>
        <w:tc>
          <w:tcPr>
            <w:tcW w:w="32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2,089</w:t>
            </w:r>
          </w:p>
        </w:tc>
      </w:tr>
      <w:tr>
        <w:trPr>
          <w:trHeight w:val="220"/>
        </w:trPr>
        <w:tc>
          <w:tcPr>
            <w:tcW w:w="74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Operating cash flows from finance leases</w:t>
            </w: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r>
      <w:tr>
        <w:trPr>
          <w:trHeight w:val="218"/>
        </w:trPr>
        <w:tc>
          <w:tcPr>
            <w:tcW w:w="7460" w:type="dxa"/>
            <w:vAlign w:val="bottom"/>
            <w:gridSpan w:val="3"/>
          </w:tcPr>
          <w:p>
            <w:pPr>
              <w:ind w:left="120"/>
              <w:spacing w:after="0"/>
              <w:rPr>
                <w:sz w:val="20"/>
                <w:szCs w:val="20"/>
                <w:color w:val="auto"/>
              </w:rPr>
            </w:pPr>
            <w:r>
              <w:rPr>
                <w:rFonts w:ascii="Arial" w:cs="Arial" w:eastAsia="Arial" w:hAnsi="Arial"/>
                <w:sz w:val="17"/>
                <w:szCs w:val="17"/>
                <w:color w:val="auto"/>
              </w:rPr>
              <w:t>Financing cash flows from finance leases</w:t>
            </w:r>
          </w:p>
        </w:tc>
        <w:tc>
          <w:tcPr>
            <w:tcW w:w="14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129</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20"/>
        </w:trPr>
        <w:tc>
          <w:tcPr>
            <w:tcW w:w="7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Lease liabilities arising from obtaining right-of-use assets:</w:t>
            </w: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8"/>
        </w:trPr>
        <w:tc>
          <w:tcPr>
            <w:tcW w:w="7460" w:type="dxa"/>
            <w:vAlign w:val="bottom"/>
            <w:gridSpan w:val="3"/>
          </w:tcPr>
          <w:p>
            <w:pPr>
              <w:ind w:left="120"/>
              <w:spacing w:after="0"/>
              <w:rPr>
                <w:sz w:val="20"/>
                <w:szCs w:val="20"/>
                <w:color w:val="auto"/>
              </w:rPr>
            </w:pPr>
            <w:r>
              <w:rPr>
                <w:rFonts w:ascii="Arial" w:cs="Arial" w:eastAsia="Arial" w:hAnsi="Arial"/>
                <w:sz w:val="17"/>
                <w:szCs w:val="17"/>
                <w:color w:val="auto"/>
              </w:rPr>
              <w:t>Operating leases</w:t>
            </w:r>
          </w:p>
        </w:tc>
        <w:tc>
          <w:tcPr>
            <w:tcW w:w="1440" w:type="dxa"/>
            <w:vAlign w:val="bottom"/>
          </w:tcPr>
          <w:p>
            <w:pPr>
              <w:jc w:val="right"/>
              <w:ind w:right="123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37</w:t>
            </w:r>
          </w:p>
        </w:tc>
        <w:tc>
          <w:tcPr>
            <w:tcW w:w="32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3,137</w:t>
            </w:r>
          </w:p>
        </w:tc>
      </w:tr>
    </w:tbl>
    <w:p>
      <w:pPr>
        <w:spacing w:after="0" w:line="247"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During May 2021 we entered into a transportation management, warehousing, and transportation services agreement with Castellini Company, LLC to outsource Curation Foods’ fresh packaged salads and vegetables logistics management, including transportation, warehousing and distribution. In connection with this arrangement, during the fiscal year ended May 30, 2021 the Company recorded a $1.7 million impairment of our operating lease right-of-use assets related to certain vehicle leases, which is included in Loss from discontinued operations within the Consolidated Statements of Operations.</w:t>
      </w:r>
    </w:p>
    <w:p>
      <w:pPr>
        <w:spacing w:after="0" w:line="13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disclosed in Note 13 - Restructuring Costs, impairments of our operating lease right-of-use assets related to the Curation Foods Santa Maria office lease of $1.6 million and our Curation Foods Los Angeles, California office lease of $0.4 million were recorded in Restructuring cost in the accompanying Consolidated Statements of Operations for the year ended May 29, 2022.</w:t>
      </w:r>
    </w:p>
    <w:p>
      <w:pPr>
        <w:spacing w:after="0" w:line="195" w:lineRule="exact"/>
        <w:rPr>
          <w:sz w:val="20"/>
          <w:szCs w:val="20"/>
          <w:color w:val="auto"/>
        </w:rPr>
      </w:pPr>
    </w:p>
    <w:p>
      <w:pPr>
        <w:ind w:left="620" w:right="8460" w:hanging="617"/>
        <w:spacing w:after="0" w:line="524" w:lineRule="auto"/>
        <w:tabs>
          <w:tab w:leader="none" w:pos="345"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Purchase Commitments</w:t>
      </w:r>
    </w:p>
    <w:p>
      <w:pPr>
        <w:spacing w:after="0" w:line="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At May 29, 2022, the Company was committed to purchase $54.9 million of raw materials. For the fiscal years ended May 29, 2022, May 30, 2021 and May 31, 2020, purchases related to long term commitments under take or pay agreements were $5.1 million, $3.0 million, and $3.4 million, respectively.</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Legal Contingencies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the ordinary course of business, the Company is involved in various legal proceedings and claims.</w:t>
      </w:r>
    </w:p>
    <w:p>
      <w:pPr>
        <w:spacing w:after="0" w:line="19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makes a provision for a liability relating to legal matters when it is both probable that a liability has been incurred and the amount of the loss can be reasonably estimated. These provisions are reviewed at least each fiscal quarter and adjusted to reflect the impacts of negotiations, estimated settlements, legal rulings, advice of legal counsel and other information and events pertaining to a particular matter. Legal fees are expensed in the period in which they are incurred.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Claims Alleging Unfair Labor Practices</w:t>
      </w:r>
    </w:p>
    <w:p>
      <w:pPr>
        <w:spacing w:after="0" w:line="178"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Curation Foods has been the target of a union organizing campaign which has included three unsuccessful attempts to unionize Curation Foods’ Guadalupe, California processing plant. The campaign has involved a union and over 100 former and current employees of Pacific Harvest, Inc. and Rancho Harvest, Inc. (collectively “Pacific Harvest”), Curation Foods’ former labor contractors at its Guadalupe, California processing facility, bringing legal actions before various state and federal agencies, the California Superior Court, and initiating over 100 individual arbitrations against Curation Foods and Pacific Harvest.</w:t>
      </w:r>
    </w:p>
    <w:p>
      <w:pPr>
        <w:spacing w:after="0" w:line="12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The legal actions consisted of various claims, all of which were settled in fiscal year 2017. Under the settlement agreement, the plaintiffs were to be paid in three installments. The Company and Pacific Harvest each agreed to pay one half of the settlement payments. The Company paid the entire first two installments and Pacific Harvest agreed to reimburse the Company for its $2.1 million portion. As of May 30, 2021, the outstanding balance of the receivable was $1.2 million. The Company makes ongoing estimates relating to the collectability of receivables. A reserve is established for any note when there is reasonable doubt that the principal or interest will be collected in full. The Company may write-off uncollectable receivables after collection efforts are exhausted. During the fiscal year 2020, the Company's review for collectability concluded that a receivable reserve of $1.2 million would be recorded. The Company's conclusion regarding collectability changed as a result of Pacific Harvest communicating their refusal to pay combined with their bringing claims against the Company. During the fiscal year ended May 30, 2021, the Company agreed to discharge Pacific Harvest from the $1.2 million receivable as part of a settlement agreement with Pacific Harvest (see other litigation matters section below for additional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Compliance Matters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8" w:name="page89"/>
    <w:bookmarkEnd w:id="88"/>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On December 1, 2018, the Company acquired all of the voting interests and substantially all of the assets of Yucatan Foods (the “Yucatan Acquisition”), which owns a guacamole manufacturing plant in Mexico called Procesadora Tanok, S de RL de C.V. (“Tanok”).</w:t>
      </w:r>
    </w:p>
    <w:p>
      <w:pPr>
        <w:spacing w:after="0" w:line="126"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On October 21, 2019, the Company retained Latham &amp; Watkins, LLP to conduct an internal investigation relating to potential environmental and Foreign Corrupt Practices Act (“FCPA”) compliance matters associated with regulatory permitting at the Tanok facility in Mexico. The Company subsequently disclosed to the U.S. Securities and Exchange Commission (“SEC”) and the U.S. Department of Justice (“DOJ”) the conduct under investigation, and these agencies have commenced an investigation. The Company has also disclosed the conduct under investigation to the Mexican Attorney General’s Office, which has commenced an investigation, and to Mexican regulatory agencies. The Company is cooperating in the government investigations and requests for information. The conduct at issue began prior to the Yucatan Acquisition, and the agreement for the Yucatan Acquisition provides the Company with certain indemnification rights that may allow the Company to recover the cost of a portion of the liabilities that have been and may be incurred by the Company in connection with these compliance matters. On September 2, 2020, one of the former owners of Yucatan filed a lawsuit against the Company in Los Angeles County Superior Court for breach of employment agreement, breach of contract, breach of holdback agreement, declaratory relief and accounting, and related claims. The Plaintiff seeks over $10 million in damages, including delivery of shares of his stock held in escrow for the indemnification claims described above. On November 3, 2020, the Company filed an answer and cross-complaint against the Plaintiff and other parties for fraud, indemnification, and other claims, and seeking no less than $80 million in damages.</w:t>
      </w:r>
    </w:p>
    <w:p>
      <w:pPr>
        <w:spacing w:after="0" w:line="14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At this stage, the ultimate outcome of these or any other investigations, legal actions, or potential claims that may arise from the matters under investigation is uncertain and the Company cannot reasonably predict the timing or outcomes, or estimate the amount of net loss after indemnification, or its effect, if any, on its financial statements. Separately, there are indemnification provisions in the purchase agreement that may allow the Company to recover costs for fraud or breach of the purchase agreement from the seller. Because recovery of amounts are contingent upon a legal settlement, no amounts have been recorded as recoverable costs through May 29, 2022.</w:t>
      </w:r>
    </w:p>
    <w:p>
      <w:pPr>
        <w:spacing w:after="0" w:line="15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During the third quarter of fiscal year 2021 the Company reached a resolution with its insurance carrier that resulted in a recovery of $1.6 million which is recorded as a reduction of selling, general and administrative in the Consolidated Statements of Operations for the fiscal year ended May 30, 2021. Absent further material developments in the investigation, the Company does not expect additional material recovery from the insurance carrier.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Litigation Matters</w:t>
      </w:r>
    </w:p>
    <w:p>
      <w:pPr>
        <w:spacing w:after="0" w:line="17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 xml:space="preserve">On February 10, 2020, a complaint was filed against Curation Foods in the United States District Court for the Northern District of Georgia, </w:t>
      </w:r>
      <w:r>
        <w:rPr>
          <w:rFonts w:ascii="Arial" w:cs="Arial" w:eastAsia="Arial" w:hAnsi="Arial"/>
          <w:sz w:val="17"/>
          <w:szCs w:val="17"/>
          <w:i w:val="1"/>
          <w:iCs w:val="1"/>
          <w:color w:val="auto"/>
        </w:rPr>
        <w:t>Printpack,</w:t>
      </w:r>
      <w:r>
        <w:rPr>
          <w:rFonts w:ascii="Arial" w:cs="Arial" w:eastAsia="Arial" w:hAnsi="Arial"/>
          <w:sz w:val="17"/>
          <w:szCs w:val="17"/>
          <w:color w:val="auto"/>
        </w:rPr>
        <w:t xml:space="preserve"> </w:t>
      </w:r>
      <w:r>
        <w:rPr>
          <w:rFonts w:ascii="Arial" w:cs="Arial" w:eastAsia="Arial" w:hAnsi="Arial"/>
          <w:sz w:val="17"/>
          <w:szCs w:val="17"/>
          <w:i w:val="1"/>
          <w:iCs w:val="1"/>
          <w:color w:val="auto"/>
        </w:rPr>
        <w:t>Inc. v. Curation Foods, Inc.</w:t>
      </w:r>
      <w:r>
        <w:rPr>
          <w:rFonts w:ascii="Arial" w:cs="Arial" w:eastAsia="Arial" w:hAnsi="Arial"/>
          <w:sz w:val="17"/>
          <w:szCs w:val="17"/>
          <w:color w:val="auto"/>
        </w:rPr>
        <w:t>, alleging breach of contract pertaining to Curation Foods’ purchase of certain poly film packaging from the plaintiff. The plaintiff was</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an unspecified amount of monetary damages, litigation expenses, and interest. Through several negotiations and discussions between the Company and Printpack, an agreement was reached and a Notice of Voluntary Dismissal was filed on May 29, 2020. This dismisses the case against the Company with no other further legal action required.</w:t>
      </w:r>
    </w:p>
    <w:p>
      <w:pPr>
        <w:spacing w:after="0" w:line="157"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On February 14, 2020, a complaint was filed against the Company, Curation Foods, the Company's former CEO Albert Bolles, and the Company’s former CFO Gregory Skinner (collectively, the “Landec Parties”), and other defendants in Santa Barbara County Superior Court, entitled Pacific Harvest, Inc., et al. v. Curation Foods, Inc., et al. (No. 20CV00920). The case was brought by Pacific Harvest, Inc. (“Pacific”) and Rancho Harvest, Inc. (“Rancho”), two related companies that have provided labor and employee staffing services to Curation Foods. Among other things, Pacific and Rancho allege that Curation Foods wrongfully decreased its use of Pacific’s staffing services and misappropriated Pacific’s trade secrets when Curation Foods increased its use of another staffing company and transitioned Pacific’s employees to the other staffing company. Pacific and Rancho also allege that Curation Foods breached agreements between the parties related to a loan from Curation Foods, on which Pacific and Rancho have ceased making payments. Pacific Harvest and Rancho asserted claims for breach of contract, breach of the implied covenant of good faith and fair dealing, intentional interference with contracts and potential economic advantage, misappropriation of trade secrets under California’s Uniform Trade Secrets Act, business practices in violation of California Unfair Competition Law, fraud, defamation, violation of California Usury Law, breach of fiduciary duty, and declaratory relief regarding the parties’ rights and obligations under certain of the parties’ contracts. On March 15, 2021, the Company executed a settlement agreement related to this matter. In connection with the settlement agreement, the Company recorded a $1.8 million charge after considering the total settlement amount and insurance recoveries, and this amount is included in Legal settlement charge in the Consolidated Statements of Operations for the fiscal year ended May 30, 2021. The final settlement amount was paid to the plaintiffs by Curation Foods, its co-defendants, and insurers on April 14, 2021. Pursuant to the settlement agreement, the case was dismissed with prejudice on April 23, 2021.</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9" w:name="page90"/>
    <w:bookmarkEnd w:id="89"/>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In June of 2021 a complaint was filed against the company alleging multiple wage and hour claims. On June 6, 2022 the Company reached an agreement to settle all causes of action alleged by the Plaintiff under the California Labor Code, the California Business and Professionals Code, the applicable Wage Order, and the Private Attorneys General Act (the “PAGA”). In connection with the settlement agreement the Company recorded a $0.5 million charge, and this amount is included in Loss from discontinued operations costs in the Consolidated Statements of Operations for the fiscal year ended May 29, 2022.</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5"/>
          <w:szCs w:val="15"/>
          <w:b w:val="1"/>
          <w:bCs w:val="1"/>
          <w:color w:val="auto"/>
        </w:rPr>
        <w:t>Business Segment Reporting, As Restated</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operates using three strategic reportable business segments, aligned with how the Chief Executive Officer, who is the chief operating decision maker (“CODM”), manages the business: the Lifecore segment, the Curation Foods segment, and the Other segment.</w:t>
      </w:r>
    </w:p>
    <w:p>
      <w:pPr>
        <w:spacing w:after="0" w:line="12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discussed in Note 1 - Correction of Error in Previously Reported Fiscal Year 2022 Annual Financial Statements, the Company recorded an impairment charge of $20.0 million related to its Yucatan Foods goodwill. The Company also recorded impairment charges of $8.4 million, $11.9 million, and $5.8 million related to its Yucatan Foods trademarks/tradenames, property and equipment, and customer relationships, intangible assets respectively, in the Curation Foods business segment for the year ended May 29, 2022.</w:t>
      </w:r>
    </w:p>
    <w:p>
      <w:pPr>
        <w:spacing w:after="0" w:line="15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The Lifecore segment sells products utilizing hyaluronan, a naturally occurring polysaccharide that is widely distributed in the extracellular matrix of connective tissues in both animals and humans, and non-HA products for medical use primarily in the Ophthalmic, Orthopedic and other markets.</w:t>
      </w:r>
    </w:p>
    <w:p>
      <w:pPr>
        <w:spacing w:after="0" w:line="10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 xml:space="preserve">The Curation Foods business includes (i) three natural food brands, including </w:t>
      </w:r>
      <w:r>
        <w:rPr>
          <w:rFonts w:ascii="Arial" w:cs="Arial" w:eastAsia="Arial" w:hAnsi="Arial"/>
          <w:sz w:val="17"/>
          <w:szCs w:val="17"/>
          <w:i w:val="1"/>
          <w:iCs w:val="1"/>
          <w:color w:val="auto"/>
        </w:rPr>
        <w:t>O</w:t>
      </w:r>
      <w:r>
        <w:rPr>
          <w:rFonts w:ascii="Arial" w:cs="Arial" w:eastAsia="Arial" w:hAnsi="Arial"/>
          <w:sz w:val="17"/>
          <w:szCs w:val="17"/>
          <w:color w:val="auto"/>
        </w:rPr>
        <w:t xml:space="preserve"> Olive Oil &amp; Vinegar, Yucatan Foods, and Cabo Fresh and (ii) BreatheWay® activities. The Curation Foods segment includes sales of BreatheWay packaging to partners for fruit and vegetable products, sales of olive oils and wine vinegars under the </w:t>
      </w:r>
      <w:r>
        <w:rPr>
          <w:rFonts w:ascii="Arial" w:cs="Arial" w:eastAsia="Arial" w:hAnsi="Arial"/>
          <w:sz w:val="17"/>
          <w:szCs w:val="17"/>
          <w:i w:val="1"/>
          <w:iCs w:val="1"/>
          <w:color w:val="auto"/>
        </w:rPr>
        <w:t>O</w:t>
      </w:r>
      <w:r>
        <w:rPr>
          <w:rFonts w:ascii="Arial" w:cs="Arial" w:eastAsia="Arial" w:hAnsi="Arial"/>
          <w:sz w:val="17"/>
          <w:szCs w:val="17"/>
          <w:color w:val="auto"/>
        </w:rPr>
        <w:t xml:space="preserve"> brand, and sales of avocado products under the brands Yucatan Foods and Cabo Fresh. In December 2021, the Company completed the Eat Smart Disposition. As a result, the Company met the requirements of ASC 205-20 to report the results of the Eat Smart business as discontinued operations. The operating results for the Eat Smart business, in all periods presented, have been reclassified to discontinued operations and are no longer reported in the Curation Foods business segment. See Note 1 – Organization, Basis of Presentation, and Summary of Significant Accounting Policies – Eat Smart Sale and Discontinued Operations for further discussion.</w:t>
      </w:r>
    </w:p>
    <w:p>
      <w:pPr>
        <w:spacing w:after="0" w:line="14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Other segment includes corporate general and administrative expenses, non-Lifecore and non-Curation Foods interest expense, interest income, and income tax expenses. Corporate overhead is allocated between segments based on actual utilization and relative size.</w:t>
      </w:r>
    </w:p>
    <w:p>
      <w:pPr>
        <w:spacing w:after="0" w:line="139" w:lineRule="exact"/>
        <w:rPr>
          <w:sz w:val="20"/>
          <w:szCs w:val="20"/>
          <w:color w:val="auto"/>
        </w:rPr>
      </w:pPr>
    </w:p>
    <w:p>
      <w:pPr>
        <w:ind w:right="360" w:firstLine="619"/>
        <w:spacing w:after="0" w:line="276" w:lineRule="auto"/>
        <w:rPr>
          <w:sz w:val="20"/>
          <w:szCs w:val="20"/>
          <w:color w:val="auto"/>
        </w:rPr>
      </w:pPr>
      <w:r>
        <w:rPr>
          <w:rFonts w:ascii="Arial" w:cs="Arial" w:eastAsia="Arial" w:hAnsi="Arial"/>
          <w:sz w:val="17"/>
          <w:szCs w:val="17"/>
          <w:color w:val="auto"/>
        </w:rPr>
        <w:t>All of the Company's assets are located within the United States of America except for its Yucatan production facility in Mexico. The following table presents our property and equipment, net by geographic region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Year Ended</w:t>
            </w:r>
          </w:p>
        </w:tc>
        <w:tc>
          <w:tcPr>
            <w:tcW w:w="1000" w:type="dxa"/>
            <w:vAlign w:val="bottom"/>
            <w:tcBorders>
              <w:bottom w:val="single" w:sz="8" w:color="auto"/>
            </w:tcBorders>
          </w:tcPr>
          <w:p>
            <w:pPr>
              <w:spacing w:after="0"/>
              <w:rPr>
                <w:sz w:val="18"/>
                <w:szCs w:val="18"/>
                <w:color w:val="auto"/>
              </w:rPr>
            </w:pPr>
          </w:p>
        </w:tc>
      </w:tr>
      <w:tr>
        <w:trPr>
          <w:trHeight w:val="211"/>
        </w:trPr>
        <w:tc>
          <w:tcPr>
            <w:tcW w:w="8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7"/>
                <w:szCs w:val="17"/>
                <w:i w:val="1"/>
                <w:iCs w:val="1"/>
                <w:color w:val="auto"/>
              </w:rPr>
              <w:t>As restated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840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Arial" w:cs="Arial" w:eastAsia="Arial" w:hAnsi="Arial"/>
                <w:sz w:val="17"/>
                <w:szCs w:val="17"/>
                <w:color w:val="auto"/>
              </w:rPr>
              <w:t>May 29, 2022</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w w:val="93"/>
              </w:rPr>
              <w:t>May 30, 2021</w:t>
            </w:r>
          </w:p>
        </w:tc>
      </w:tr>
      <w:tr>
        <w:trPr>
          <w:trHeight w:val="213"/>
        </w:trPr>
        <w:tc>
          <w:tcPr>
            <w:tcW w:w="8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United States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115.0</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105.3</w:t>
            </w:r>
          </w:p>
        </w:tc>
      </w:tr>
      <w:tr>
        <w:trPr>
          <w:trHeight w:val="218"/>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Mexico</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r>
      <w:tr>
        <w:trPr>
          <w:trHeight w:val="23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and equipment, net</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international sales by geography are based on the billing address of the customer and were as follows (in millions):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122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9"/>
              </w:rPr>
              <w:t>Table of Contents</w:t>
            </w:r>
          </w:p>
        </w:tc>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011"/>
        </w:trPr>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Year Ended</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12"/>
        </w:trPr>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74"/>
              <w:spacing w:after="0"/>
              <w:rPr>
                <w:sz w:val="20"/>
                <w:szCs w:val="20"/>
                <w:color w:val="auto"/>
              </w:rPr>
            </w:pPr>
            <w:r>
              <w:rPr>
                <w:rFonts w:ascii="Arial" w:cs="Arial" w:eastAsia="Arial" w:hAnsi="Arial"/>
                <w:sz w:val="17"/>
                <w:szCs w:val="17"/>
                <w:color w:val="auto"/>
                <w:w w:val="97"/>
              </w:rPr>
              <w:t>May 29, 2022</w:t>
            </w:r>
          </w:p>
        </w:tc>
        <w:tc>
          <w:tcPr>
            <w:tcW w:w="240" w:type="dxa"/>
            <w:vAlign w:val="bottom"/>
          </w:tcPr>
          <w:p>
            <w:pPr>
              <w:spacing w:after="0"/>
              <w:rPr>
                <w:sz w:val="18"/>
                <w:szCs w:val="18"/>
                <w:color w:val="auto"/>
              </w:rPr>
            </w:pPr>
          </w:p>
        </w:tc>
        <w:tc>
          <w:tcPr>
            <w:tcW w:w="1260" w:type="dxa"/>
            <w:vAlign w:val="bottom"/>
          </w:tcPr>
          <w:p>
            <w:pPr>
              <w:jc w:val="right"/>
              <w:ind w:right="154"/>
              <w:spacing w:after="0"/>
              <w:rPr>
                <w:sz w:val="20"/>
                <w:szCs w:val="20"/>
                <w:color w:val="auto"/>
              </w:rPr>
            </w:pPr>
            <w:r>
              <w:rPr>
                <w:rFonts w:ascii="Arial" w:cs="Arial" w:eastAsia="Arial" w:hAnsi="Arial"/>
                <w:sz w:val="17"/>
                <w:szCs w:val="17"/>
                <w:color w:val="auto"/>
                <w:w w:val="97"/>
              </w:rPr>
              <w:t>May 30, 2021</w:t>
            </w:r>
          </w:p>
        </w:tc>
        <w:tc>
          <w:tcPr>
            <w:tcW w:w="240" w:type="dxa"/>
            <w:vAlign w:val="bottom"/>
          </w:tcPr>
          <w:p>
            <w:pPr>
              <w:spacing w:after="0"/>
              <w:rPr>
                <w:sz w:val="18"/>
                <w:szCs w:val="18"/>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31, 2020</w:t>
            </w:r>
          </w:p>
        </w:tc>
      </w:tr>
      <w:tr>
        <w:trPr>
          <w:trHeight w:val="220"/>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Switzerland</w:t>
            </w:r>
          </w:p>
        </w:tc>
        <w:tc>
          <w:tcPr>
            <w:tcW w:w="5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16.8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8"/>
        </w:trPr>
        <w:tc>
          <w:tcPr>
            <w:tcW w:w="184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51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12.6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10.7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20"/>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Czech Republic</w:t>
            </w:r>
          </w:p>
        </w:tc>
        <w:tc>
          <w:tcPr>
            <w:tcW w:w="5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8"/>
        </w:trPr>
        <w:tc>
          <w:tcPr>
            <w:tcW w:w="1840" w:type="dxa"/>
            <w:vAlign w:val="bottom"/>
            <w:gridSpan w:val="2"/>
          </w:tcPr>
          <w:p>
            <w:pPr>
              <w:ind w:left="20"/>
              <w:spacing w:after="0"/>
              <w:rPr>
                <w:sz w:val="20"/>
                <w:szCs w:val="20"/>
                <w:color w:val="auto"/>
              </w:rPr>
            </w:pPr>
            <w:r>
              <w:rPr>
                <w:rFonts w:ascii="Arial" w:cs="Arial" w:eastAsia="Arial" w:hAnsi="Arial"/>
                <w:sz w:val="17"/>
                <w:szCs w:val="17"/>
                <w:color w:val="auto"/>
              </w:rPr>
              <w:t>United Kingdom</w:t>
            </w:r>
          </w:p>
        </w:tc>
        <w:tc>
          <w:tcPr>
            <w:tcW w:w="51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2.9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1.9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0"/>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Ireland</w:t>
            </w:r>
          </w:p>
        </w:tc>
        <w:tc>
          <w:tcPr>
            <w:tcW w:w="5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8"/>
        </w:trPr>
        <w:tc>
          <w:tcPr>
            <w:tcW w:w="1840" w:type="dxa"/>
            <w:vAlign w:val="bottom"/>
            <w:gridSpan w:val="2"/>
          </w:tcPr>
          <w:p>
            <w:pPr>
              <w:ind w:left="20"/>
              <w:spacing w:after="0"/>
              <w:rPr>
                <w:sz w:val="20"/>
                <w:szCs w:val="20"/>
                <w:color w:val="auto"/>
              </w:rPr>
            </w:pPr>
            <w:r>
              <w:rPr>
                <w:rFonts w:ascii="Arial" w:cs="Arial" w:eastAsia="Arial" w:hAnsi="Arial"/>
                <w:sz w:val="17"/>
                <w:szCs w:val="17"/>
                <w:color w:val="auto"/>
              </w:rPr>
              <w:t>Belgium</w:t>
            </w:r>
          </w:p>
        </w:tc>
        <w:tc>
          <w:tcPr>
            <w:tcW w:w="51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13.7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13.8</w:t>
            </w:r>
          </w:p>
        </w:tc>
      </w:tr>
      <w:tr>
        <w:trPr>
          <w:trHeight w:val="220"/>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All Other Countries</w:t>
            </w:r>
          </w:p>
        </w:tc>
        <w:tc>
          <w:tcPr>
            <w:tcW w:w="5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849"/>
        </w:trPr>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80" w:type="dxa"/>
            <w:vAlign w:val="bottom"/>
          </w:tcPr>
          <w:p>
            <w:pPr>
              <w:jc w:val="right"/>
              <w:ind w:right="1034"/>
              <w:spacing w:after="0"/>
              <w:rPr>
                <w:sz w:val="20"/>
                <w:szCs w:val="20"/>
                <w:color w:val="auto"/>
              </w:rPr>
            </w:pPr>
            <w:r>
              <w:rPr>
                <w:rFonts w:ascii="Arial" w:cs="Arial" w:eastAsia="Arial" w:hAnsi="Arial"/>
                <w:sz w:val="17"/>
                <w:szCs w:val="17"/>
                <w:color w:val="auto"/>
              </w:rPr>
              <w:t>86</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0"/>
        </w:trPr>
        <w:tc>
          <w:tcPr>
            <w:tcW w:w="6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91" w:name="page92"/>
    <w:bookmarkEnd w:id="91"/>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ind w:left="780"/>
              <w:spacing w:after="0"/>
              <w:rPr>
                <w:sz w:val="20"/>
                <w:szCs w:val="20"/>
                <w:color w:val="auto"/>
              </w:rPr>
            </w:pPr>
            <w:r>
              <w:rPr>
                <w:rFonts w:ascii="Arial" w:cs="Arial" w:eastAsia="Arial" w:hAnsi="Arial"/>
                <w:sz w:val="17"/>
                <w:szCs w:val="17"/>
                <w:color w:val="auto"/>
                <w:w w:val="99"/>
              </w:rPr>
              <w:t>Operations by segment consisted of the following (in 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13"/>
        </w:trPr>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i w:val="1"/>
                <w:iCs w:val="1"/>
                <w:color w:val="auto"/>
              </w:rPr>
              <w:t>As restated</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74"/>
              <w:spacing w:after="0"/>
              <w:rPr>
                <w:sz w:val="20"/>
                <w:szCs w:val="20"/>
                <w:color w:val="auto"/>
              </w:rPr>
            </w:pPr>
            <w:r>
              <w:rPr>
                <w:rFonts w:ascii="Arial" w:cs="Arial" w:eastAsia="Arial" w:hAnsi="Arial"/>
                <w:sz w:val="17"/>
                <w:szCs w:val="17"/>
                <w:i w:val="1"/>
                <w:iCs w:val="1"/>
                <w:color w:val="auto"/>
                <w:w w:val="95"/>
              </w:rPr>
              <w:t>As restated</w:t>
            </w:r>
          </w:p>
        </w:tc>
      </w:tr>
      <w:tr>
        <w:trPr>
          <w:trHeight w:val="22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Year Ended May 29, 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Lifecore</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9"/>
              </w:rPr>
              <w:t>Curation Foods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Total</w:t>
            </w:r>
          </w:p>
        </w:tc>
      </w:tr>
      <w:tr>
        <w:trPr>
          <w:trHeight w:val="21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sales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185,786</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43,746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6,624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50,370</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from continuing operations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(63,524)</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(48,114)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(51,155)</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Identifiable assets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277,806</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6,673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10,757</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expenditures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26,226</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(17,357)</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Income tax (benefit) expense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(13,831)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(5,945)</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overhead allocation</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9"/>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Year Ended May 30, 2021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1"/>
        </w:trPr>
        <w:tc>
          <w:tcPr>
            <w:tcW w:w="5640" w:type="dxa"/>
            <w:vAlign w:val="bottom"/>
          </w:tcPr>
          <w:p>
            <w:pPr>
              <w:ind w:left="20"/>
              <w:spacing w:after="0"/>
              <w:rPr>
                <w:sz w:val="20"/>
                <w:szCs w:val="20"/>
                <w:color w:val="auto"/>
              </w:rPr>
            </w:pPr>
            <w:r>
              <w:rPr>
                <w:rFonts w:ascii="Arial" w:cs="Arial" w:eastAsia="Arial" w:hAnsi="Arial"/>
                <w:sz w:val="17"/>
                <w:szCs w:val="17"/>
                <w:color w:val="auto"/>
              </w:rPr>
              <w:t>Product sales</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98,087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73,459</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171,546</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50,471</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Net income (loss) from continuing operations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14,461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(23,673)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(9,569)</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(23,096)</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Identifiable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185,417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121,069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311,166</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8,571</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16,222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19,264</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(9,842)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(10,387)</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expense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Corporate overhead allocation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9"/>
        </w:trPr>
        <w:tc>
          <w:tcPr>
            <w:tcW w:w="5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8"/>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Year Ended May 31, 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r>
      <w:tr>
        <w:trPr>
          <w:trHeight w:val="21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sales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160,066</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32,883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39,387</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from continuing operations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(21,871)</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(16,320)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(16,320)</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Identifiable assets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165,461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293,501</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8,386</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expenditures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12,214</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(4,646)</w:t>
            </w: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Income tax (benefit) expense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(8,686)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(8,774)</w:t>
            </w: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overhead allocation</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sectPr>
      </w:pPr>
    </w:p>
    <w:bookmarkStart w:id="92" w:name="page93"/>
    <w:bookmarkEnd w:id="92"/>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Quarterly Consolidated Financial Information (unaudited), As Restated</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The following is a summary of the unaudited quarterly results of operations for fiscal years 2022 and 2021 (in thousands, except for per share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40" w:type="dxa"/>
            <w:vAlign w:val="bottom"/>
            <w:gridSpan w:val="12"/>
          </w:tcPr>
          <w:p>
            <w:pPr>
              <w:ind w:left="620"/>
              <w:spacing w:after="0"/>
              <w:rPr>
                <w:sz w:val="20"/>
                <w:szCs w:val="20"/>
                <w:color w:val="auto"/>
              </w:rPr>
            </w:pPr>
            <w:r>
              <w:rPr>
                <w:rFonts w:ascii="Arial" w:cs="Arial" w:eastAsia="Arial" w:hAnsi="Arial"/>
                <w:sz w:val="17"/>
                <w:szCs w:val="17"/>
                <w:color w:val="auto"/>
                <w:w w:val="93"/>
              </w:rPr>
              <w:t>amounts) see Note 1 - Correction of Error in Previously Reported Fiscal Year 2022 Annual Financial Statements: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63"/>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i w:val="1"/>
                <w:iCs w:val="1"/>
                <w:color w:val="auto"/>
              </w:rPr>
              <w:t>As restated</w:t>
            </w:r>
          </w:p>
        </w:tc>
        <w:tc>
          <w:tcPr>
            <w:tcW w:w="20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i w:val="1"/>
                <w:iCs w:val="1"/>
                <w:color w:val="auto"/>
              </w:rPr>
              <w:t>As restated</w:t>
            </w:r>
          </w:p>
        </w:tc>
        <w:tc>
          <w:tcPr>
            <w:tcW w:w="220" w:type="dxa"/>
            <w:vAlign w:val="bottom"/>
          </w:tcPr>
          <w:p>
            <w:pPr>
              <w:spacing w:after="0"/>
              <w:rPr>
                <w:sz w:val="24"/>
                <w:szCs w:val="24"/>
                <w:color w:val="auto"/>
              </w:rPr>
            </w:pPr>
          </w:p>
        </w:tc>
        <w:tc>
          <w:tcPr>
            <w:tcW w:w="1180" w:type="dxa"/>
            <w:vAlign w:val="bottom"/>
          </w:tcPr>
          <w:p>
            <w:pPr>
              <w:jc w:val="right"/>
              <w:ind w:right="234"/>
              <w:spacing w:after="0"/>
              <w:rPr>
                <w:sz w:val="20"/>
                <w:szCs w:val="20"/>
                <w:color w:val="auto"/>
              </w:rPr>
            </w:pPr>
            <w:r>
              <w:rPr>
                <w:rFonts w:ascii="Arial" w:cs="Arial" w:eastAsia="Arial" w:hAnsi="Arial"/>
                <w:sz w:val="17"/>
                <w:szCs w:val="17"/>
                <w:i w:val="1"/>
                <w:iCs w:val="1"/>
                <w:color w:val="auto"/>
                <w:w w:val="97"/>
              </w:rPr>
              <w:t>As restated</w:t>
            </w:r>
          </w:p>
        </w:tc>
      </w:tr>
      <w:tr>
        <w:trPr>
          <w:trHeight w:val="220"/>
        </w:trPr>
        <w:tc>
          <w:tcPr>
            <w:tcW w:w="3760" w:type="dxa"/>
            <w:vAlign w:val="bottom"/>
            <w:tcBorders>
              <w:bottom w:val="single" w:sz="8" w:color="auto"/>
            </w:tcBorders>
          </w:tcPr>
          <w:p>
            <w:pPr>
              <w:ind w:left="1300"/>
              <w:spacing w:after="0"/>
              <w:rPr>
                <w:sz w:val="20"/>
                <w:szCs w:val="20"/>
                <w:color w:val="auto"/>
              </w:rPr>
            </w:pPr>
            <w:r>
              <w:rPr>
                <w:rFonts w:ascii="Arial" w:cs="Arial" w:eastAsia="Arial" w:hAnsi="Arial"/>
                <w:sz w:val="17"/>
                <w:szCs w:val="17"/>
                <w:color w:val="auto"/>
              </w:rPr>
              <w:t>Fiscal Year 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1st Quarter</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99"/>
              </w:rPr>
              <w:t>2nd Quarter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3rd Quarter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4th Quarter</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Annual</w:t>
            </w:r>
          </w:p>
        </w:tc>
      </w:tr>
      <w:tr>
        <w:trPr>
          <w:trHeight w:val="21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Product sales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185,786</w:t>
            </w:r>
          </w:p>
        </w:tc>
      </w:tr>
      <w:tr>
        <w:trPr>
          <w:trHeight w:val="218"/>
        </w:trPr>
        <w:tc>
          <w:tcPr>
            <w:tcW w:w="386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10,403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14,635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13,220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50,370</w:t>
            </w:r>
          </w:p>
        </w:tc>
      </w:tr>
      <w:tr>
        <w:trPr>
          <w:trHeight w:val="22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income from continuing operations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(63,524)</w:t>
            </w:r>
          </w:p>
        </w:tc>
      </w:tr>
      <w:tr>
        <w:trPr>
          <w:trHeight w:val="218"/>
        </w:trPr>
        <w:tc>
          <w:tcPr>
            <w:tcW w:w="3860" w:type="dxa"/>
            <w:vAlign w:val="bottom"/>
            <w:gridSpan w:val="2"/>
          </w:tcPr>
          <w:p>
            <w:pPr>
              <w:ind w:left="20"/>
              <w:spacing w:after="0"/>
              <w:rPr>
                <w:sz w:val="20"/>
                <w:szCs w:val="20"/>
                <w:color w:val="auto"/>
              </w:rPr>
            </w:pPr>
            <w:r>
              <w:rPr>
                <w:rFonts w:ascii="Arial" w:cs="Arial" w:eastAsia="Arial" w:hAnsi="Arial"/>
                <w:sz w:val="17"/>
                <w:szCs w:val="17"/>
                <w:color w:val="auto"/>
              </w:rPr>
              <w:t>Net (loss) income from discontinued operations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(51,155)</w:t>
            </w:r>
          </w:p>
        </w:tc>
      </w:tr>
      <w:tr>
        <w:trPr>
          <w:trHeight w:val="169"/>
        </w:trPr>
        <w:tc>
          <w:tcPr>
            <w:tcW w:w="38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7"/>
                <w:szCs w:val="17"/>
                <w:color w:val="auto"/>
              </w:rPr>
              <w:t>Net (loss) income per basic and diluted share from</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2"/>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continuing operations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r>
      <w:tr>
        <w:trPr>
          <w:trHeight w:val="168"/>
        </w:trPr>
        <w:tc>
          <w:tcPr>
            <w:tcW w:w="386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Net (loss) income per basic and diluted share from</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3860" w:type="dxa"/>
            <w:vAlign w:val="bottom"/>
            <w:gridSpan w:val="2"/>
          </w:tcPr>
          <w:p>
            <w:pPr>
              <w:ind w:left="20"/>
              <w:spacing w:after="0"/>
              <w:rPr>
                <w:sz w:val="20"/>
                <w:szCs w:val="20"/>
                <w:color w:val="auto"/>
              </w:rPr>
            </w:pPr>
            <w:r>
              <w:rPr>
                <w:rFonts w:ascii="Arial" w:cs="Arial" w:eastAsia="Arial" w:hAnsi="Arial"/>
                <w:sz w:val="17"/>
                <w:szCs w:val="17"/>
                <w:color w:val="auto"/>
              </w:rPr>
              <w:t>discontinued operations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(0.16)</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(1.74)</w:t>
            </w:r>
          </w:p>
        </w:tc>
      </w:tr>
      <w:tr>
        <w:trPr>
          <w:trHeight w:val="555"/>
        </w:trPr>
        <w:tc>
          <w:tcPr>
            <w:tcW w:w="3760" w:type="dxa"/>
            <w:vAlign w:val="bottom"/>
            <w:tcBorders>
              <w:bottom w:val="single" w:sz="8" w:color="auto"/>
            </w:tcBorders>
          </w:tcPr>
          <w:p>
            <w:pPr>
              <w:ind w:left="1300"/>
              <w:spacing w:after="0"/>
              <w:rPr>
                <w:sz w:val="20"/>
                <w:szCs w:val="20"/>
                <w:color w:val="auto"/>
              </w:rPr>
            </w:pPr>
            <w:r>
              <w:rPr>
                <w:rFonts w:ascii="Arial" w:cs="Arial" w:eastAsia="Arial" w:hAnsi="Arial"/>
                <w:sz w:val="17"/>
                <w:szCs w:val="17"/>
                <w:color w:val="auto"/>
              </w:rPr>
              <w:t>Fiscal Year 2021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1st Quarter</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99"/>
              </w:rPr>
              <w:t>2nd Quarter</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3rd Quarter</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4th Quarter</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Annual</w:t>
            </w:r>
          </w:p>
        </w:tc>
      </w:tr>
      <w:tr>
        <w:trPr>
          <w:trHeight w:val="21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Product sales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171,546</w:t>
            </w:r>
          </w:p>
        </w:tc>
      </w:tr>
      <w:tr>
        <w:trPr>
          <w:trHeight w:val="218"/>
        </w:trPr>
        <w:tc>
          <w:tcPr>
            <w:tcW w:w="386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7,849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13,601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14,441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14,580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50,471</w:t>
            </w:r>
          </w:p>
        </w:tc>
      </w:tr>
      <w:tr>
        <w:trPr>
          <w:trHeight w:val="22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income from continuing operations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(9,569)</w:t>
            </w:r>
          </w:p>
        </w:tc>
      </w:tr>
      <w:tr>
        <w:trPr>
          <w:trHeight w:val="218"/>
        </w:trPr>
        <w:tc>
          <w:tcPr>
            <w:tcW w:w="3860" w:type="dxa"/>
            <w:vAlign w:val="bottom"/>
            <w:gridSpan w:val="2"/>
          </w:tcPr>
          <w:p>
            <w:pPr>
              <w:ind w:left="20"/>
              <w:spacing w:after="0"/>
              <w:rPr>
                <w:sz w:val="20"/>
                <w:szCs w:val="20"/>
                <w:color w:val="auto"/>
              </w:rPr>
            </w:pPr>
            <w:r>
              <w:rPr>
                <w:rFonts w:ascii="Arial" w:cs="Arial" w:eastAsia="Arial" w:hAnsi="Arial"/>
                <w:sz w:val="17"/>
                <w:szCs w:val="17"/>
                <w:color w:val="auto"/>
              </w:rPr>
              <w:t>Net (loss) income from discontinued operations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(10,934)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(23,096)</w:t>
            </w:r>
          </w:p>
        </w:tc>
      </w:tr>
      <w:tr>
        <w:trPr>
          <w:trHeight w:val="169"/>
        </w:trPr>
        <w:tc>
          <w:tcPr>
            <w:tcW w:w="38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7"/>
                <w:szCs w:val="17"/>
                <w:color w:val="auto"/>
              </w:rPr>
              <w:t>Net (loss) income per basic and diluted share from</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2"/>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continuing operations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(0.33)</w:t>
            </w:r>
          </w:p>
        </w:tc>
      </w:tr>
      <w:tr>
        <w:trPr>
          <w:trHeight w:val="168"/>
        </w:trPr>
        <w:tc>
          <w:tcPr>
            <w:tcW w:w="386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Net (loss) income per basic and diluted share from</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3860" w:type="dxa"/>
            <w:vAlign w:val="bottom"/>
            <w:gridSpan w:val="2"/>
          </w:tcPr>
          <w:p>
            <w:pPr>
              <w:ind w:left="20"/>
              <w:spacing w:after="0"/>
              <w:rPr>
                <w:sz w:val="20"/>
                <w:szCs w:val="20"/>
                <w:color w:val="auto"/>
              </w:rPr>
            </w:pPr>
            <w:r>
              <w:rPr>
                <w:rFonts w:ascii="Arial" w:cs="Arial" w:eastAsia="Arial" w:hAnsi="Arial"/>
                <w:sz w:val="17"/>
                <w:szCs w:val="17"/>
                <w:color w:val="auto"/>
              </w:rPr>
              <w:t>discontinued operations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(0.37)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(0.07)</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(0.79)</w:t>
            </w:r>
          </w:p>
        </w:tc>
      </w:tr>
    </w:tbl>
    <w:p>
      <w:pPr>
        <w:spacing w:after="0" w:line="31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Fiscal year 2022 third quarter has been restated for the correction of an error. Fiscal year 2022 first quarter and second quarter for been revised for an immaterial correction of an error. See Note 14 – Correction of Error in Previously Reported Fiscal Year 2022 Interim Financial Statements (Unaudited).</w:t>
      </w:r>
    </w:p>
    <w:p>
      <w:pPr>
        <w:spacing w:after="0" w:line="16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Discontinued Operations</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discussed in Note 1 – Organization, Basis of Presentation, and Summary of Significant Accounting Policies – Eat Smart Sale and Discontinued Operations, on December 13, 2021, we completed the Eat Smart Disposition. Eat Smart represented a component of the business within the Curation Foods segment and its sale represents a strategic shift in the Company going forward. Accordingly, concurrent with the execution of the Asset Purchase Agreement, Eat Smart meets the accounting requirements for reporting as discontinued operations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3" w:name="page94"/>
    <w:bookmarkEnd w:id="93"/>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100" w:firstLine="619"/>
        <w:spacing w:after="0" w:line="276" w:lineRule="auto"/>
        <w:rPr>
          <w:sz w:val="20"/>
          <w:szCs w:val="20"/>
          <w:color w:val="auto"/>
        </w:rPr>
      </w:pPr>
      <w:r>
        <w:rPr>
          <w:rFonts w:ascii="Arial" w:cs="Arial" w:eastAsia="Arial" w:hAnsi="Arial"/>
          <w:sz w:val="17"/>
          <w:szCs w:val="17"/>
          <w:color w:val="auto"/>
        </w:rPr>
        <w:t>The key components of loss from discontinued operations for the fiscal years ended May 29, 2022, May 30, 2021, and May 31, 2020 were as follows (in thousands):</w:t>
      </w:r>
    </w:p>
    <w:p>
      <w:pPr>
        <w:spacing w:after="0" w:line="2" w:lineRule="exact"/>
        <w:rPr>
          <w:sz w:val="20"/>
          <w:szCs w:val="20"/>
          <w:color w:val="auto"/>
        </w:rPr>
      </w:pPr>
    </w:p>
    <w:tbl>
      <w:tblPr>
        <w:tblLayout w:type="fixed"/>
        <w:tblInd w:w="620" w:type="dxa"/>
        <w:tblCellMar>
          <w:top w:w="0" w:type="dxa"/>
          <w:left w:w="0" w:type="dxa"/>
          <w:bottom w:w="0" w:type="dxa"/>
          <w:right w:w="0" w:type="dxa"/>
        </w:tblCellMar>
      </w:tblPr>
      <w:tr>
        <w:trPr>
          <w:trHeight w:val="218"/>
        </w:trPr>
        <w:tc>
          <w:tcPr>
            <w:tcW w:w="6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89"/>
              </w:rPr>
              <w:t>Year Ended</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12"/>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color w:val="auto"/>
              </w:rPr>
              <w:t>May 29, 2022</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May 30, 2021</w:t>
            </w:r>
          </w:p>
        </w:tc>
        <w:tc>
          <w:tcPr>
            <w:tcW w:w="16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7"/>
                <w:szCs w:val="17"/>
                <w:color w:val="auto"/>
              </w:rPr>
              <w:t>May 31,</w:t>
            </w:r>
          </w:p>
        </w:tc>
      </w:tr>
      <w:tr>
        <w:trPr>
          <w:trHeight w:val="213"/>
        </w:trPr>
        <w:tc>
          <w:tcPr>
            <w:tcW w:w="6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Product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186,755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372,615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center"/>
              <w:ind w:left="517"/>
              <w:spacing w:after="0"/>
              <w:rPr>
                <w:sz w:val="20"/>
                <w:szCs w:val="20"/>
                <w:color w:val="auto"/>
              </w:rPr>
            </w:pPr>
            <w:r>
              <w:rPr>
                <w:rFonts w:ascii="Arial" w:cs="Arial" w:eastAsia="Arial" w:hAnsi="Arial"/>
                <w:sz w:val="17"/>
                <w:szCs w:val="17"/>
                <w:color w:val="auto"/>
                <w:w w:val="84"/>
              </w:rPr>
              <w:t>4</w:t>
            </w:r>
          </w:p>
        </w:tc>
      </w:tr>
      <w:tr>
        <w:trPr>
          <w:trHeight w:val="21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product sales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181,555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341,612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left="517"/>
              <w:spacing w:after="0"/>
              <w:rPr>
                <w:sz w:val="20"/>
                <w:szCs w:val="20"/>
                <w:color w:val="auto"/>
              </w:rPr>
            </w:pPr>
            <w:r>
              <w:rPr>
                <w:rFonts w:ascii="Arial" w:cs="Arial" w:eastAsia="Arial" w:hAnsi="Arial"/>
                <w:sz w:val="17"/>
                <w:szCs w:val="17"/>
                <w:color w:val="auto"/>
                <w:w w:val="84"/>
              </w:rPr>
              <w:t>3</w:t>
            </w: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Operating costs and expenses: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0"/>
        </w:trPr>
        <w:tc>
          <w:tcPr>
            <w:tcW w:w="6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13,350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27,704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0"/>
        </w:trPr>
        <w:tc>
          <w:tcPr>
            <w:tcW w:w="6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Impairment of goodwill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Loss on sale of Eat Smart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0"/>
        </w:trPr>
        <w:tc>
          <w:tcPr>
            <w:tcW w:w="6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Restructuring costs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r>
      <w:tr>
        <w:trPr>
          <w:trHeight w:val="211"/>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costs and expenses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53,794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517"/>
              <w:spacing w:after="0"/>
              <w:rPr>
                <w:sz w:val="20"/>
                <w:szCs w:val="20"/>
                <w:color w:val="auto"/>
              </w:rPr>
            </w:pPr>
            <w:r>
              <w:rPr>
                <w:rFonts w:ascii="Arial" w:cs="Arial" w:eastAsia="Arial" w:hAnsi="Arial"/>
                <w:sz w:val="16"/>
                <w:szCs w:val="16"/>
                <w:color w:val="auto"/>
                <w:w w:val="74"/>
              </w:rPr>
              <w:t>(</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Dividend income</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Interest expenses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1"/>
        </w:trPr>
        <w:tc>
          <w:tcPr>
            <w:tcW w:w="6820" w:type="dxa"/>
            <w:vAlign w:val="bottom"/>
          </w:tcPr>
          <w:p>
            <w:pPr>
              <w:ind w:left="20"/>
              <w:spacing w:after="0"/>
              <w:rPr>
                <w:sz w:val="20"/>
                <w:szCs w:val="20"/>
                <w:color w:val="auto"/>
              </w:rPr>
            </w:pPr>
            <w:r>
              <w:rPr>
                <w:rFonts w:ascii="Arial" w:cs="Arial" w:eastAsia="Arial" w:hAnsi="Arial"/>
                <w:sz w:val="17"/>
                <w:szCs w:val="17"/>
                <w:color w:val="auto"/>
              </w:rPr>
              <w:t>Loss from discontinued operations before taxes</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(51,276)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(28,994)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center"/>
              <w:ind w:left="517"/>
              <w:spacing w:after="0"/>
              <w:rPr>
                <w:sz w:val="20"/>
                <w:szCs w:val="20"/>
                <w:color w:val="auto"/>
              </w:rPr>
            </w:pPr>
            <w:r>
              <w:rPr>
                <w:rFonts w:ascii="Arial" w:cs="Arial" w:eastAsia="Arial" w:hAnsi="Arial"/>
                <w:sz w:val="16"/>
                <w:szCs w:val="16"/>
                <w:color w:val="auto"/>
                <w:w w:val="74"/>
              </w:rPr>
              <w:t>(</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(51,155)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(23,096)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center"/>
              <w:ind w:left="517"/>
              <w:spacing w:after="0"/>
              <w:rPr>
                <w:sz w:val="20"/>
                <w:szCs w:val="20"/>
                <w:color w:val="auto"/>
              </w:rPr>
            </w:pPr>
            <w:r>
              <w:rPr>
                <w:rFonts w:ascii="Arial" w:cs="Arial" w:eastAsia="Arial" w:hAnsi="Arial"/>
                <w:sz w:val="16"/>
                <w:szCs w:val="16"/>
                <w:color w:val="auto"/>
                <w:w w:val="74"/>
              </w:rPr>
              <w:t>(</w:t>
            </w: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jc w:val="both"/>
        <w:ind w:right="100" w:firstLine="619"/>
        <w:spacing w:after="0" w:line="258" w:lineRule="auto"/>
        <w:rPr>
          <w:sz w:val="20"/>
          <w:szCs w:val="20"/>
          <w:color w:val="auto"/>
        </w:rPr>
      </w:pPr>
      <w:r>
        <w:rPr>
          <w:rFonts w:ascii="Arial" w:cs="Arial" w:eastAsia="Arial" w:hAnsi="Arial"/>
          <w:sz w:val="17"/>
          <w:szCs w:val="17"/>
          <w:color w:val="auto"/>
        </w:rPr>
        <w:t>Cash provided by (used in) operating activities by the Eat Smart business totaled $(16.5) million, $(1.4) million, and $13.8 million for the twelve months ended May 29, 2022, May 30, 2021, and May 31, 2020, respectively. Cash provided by (used in) investing activities from the Eat Smart business totaled $108.0 million, $8.4 million, and $(14.1) million for the twelve months ended May 29, 2022, May 30, 2021, and May 31, 2020, respectively. Depreciation and amortization expense of the Eat Smart business totaled $5.3 million, $9.4 million, and $10.0 million for the twelve months ended May 29, 2022, May 30, 2021, and May 31, 2020, respectively. Capital expenditures of the Eat Smart business totaled $1.8 million, $4.5 million, and $14.5 million for the twelve months ended May 29, 2022, May 30, 2021, and May 31, 2020, respectively.</w:t>
      </w:r>
    </w:p>
    <w:p>
      <w:pPr>
        <w:spacing w:after="0" w:line="209"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Interest expense was allocated to discontinued operations based on the interest expense related to the amount of debt required to be paid down under the New Credit Agreements as a result of the Eat Smart Disposition.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295" w:right="239" w:bottom="1440" w:gutter="0" w:footer="0" w:header="0"/>
        </w:sectPr>
      </w:pPr>
    </w:p>
    <w:bookmarkStart w:id="94" w:name="page95"/>
    <w:bookmarkEnd w:id="94"/>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carrying amounts of the major classes of assets and liabilities of the Eat Smart business included in assets and liabilities of discontinued operations are as follows (in thousands):</w:t>
      </w:r>
    </w:p>
    <w:p>
      <w:pPr>
        <w:spacing w:after="0" w:line="233" w:lineRule="exact"/>
        <w:rPr>
          <w:sz w:val="20"/>
          <w:szCs w:val="20"/>
          <w:color w:val="auto"/>
        </w:rPr>
      </w:pPr>
    </w:p>
    <w:tbl>
      <w:tblPr>
        <w:tblLayout w:type="fixed"/>
        <w:tblInd w:w="1260" w:type="dxa"/>
        <w:tblCellMar>
          <w:top w:w="0" w:type="dxa"/>
          <w:left w:w="0" w:type="dxa"/>
          <w:bottom w:w="0" w:type="dxa"/>
          <w:right w:w="0" w:type="dxa"/>
        </w:tblCellMar>
      </w:tblPr>
      <w:tr>
        <w:trPr>
          <w:trHeight w:val="199"/>
        </w:trPr>
        <w:tc>
          <w:tcPr>
            <w:tcW w:w="75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May 30, 2021</w:t>
            </w:r>
          </w:p>
        </w:tc>
      </w:tr>
      <w:tr>
        <w:trPr>
          <w:trHeight w:val="189"/>
        </w:trPr>
        <w:tc>
          <w:tcPr>
            <w:tcW w:w="7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03"/>
        </w:trPr>
        <w:tc>
          <w:tcPr>
            <w:tcW w:w="7500" w:type="dxa"/>
            <w:vAlign w:val="bottom"/>
          </w:tcPr>
          <w:p>
            <w:pPr>
              <w:ind w:left="320"/>
              <w:spacing w:after="0"/>
              <w:rPr>
                <w:sz w:val="20"/>
                <w:szCs w:val="20"/>
                <w:color w:val="auto"/>
              </w:rPr>
            </w:pPr>
            <w:r>
              <w:rPr>
                <w:rFonts w:ascii="Arial" w:cs="Arial" w:eastAsia="Arial" w:hAnsi="Arial"/>
                <w:sz w:val="15"/>
                <w:szCs w:val="15"/>
                <w:color w:val="auto"/>
              </w:rPr>
              <w:t>Cash and cash equivalents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136</w:t>
            </w:r>
          </w:p>
        </w:tc>
      </w:tr>
      <w:tr>
        <w:trPr>
          <w:trHeight w:val="235"/>
        </w:trPr>
        <w:tc>
          <w:tcPr>
            <w:tcW w:w="75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receivable, less allowance for credit losses</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28,583</w:t>
            </w:r>
          </w:p>
        </w:tc>
      </w:tr>
      <w:tr>
        <w:trPr>
          <w:trHeight w:val="203"/>
        </w:trPr>
        <w:tc>
          <w:tcPr>
            <w:tcW w:w="7500" w:type="dxa"/>
            <w:vAlign w:val="bottom"/>
          </w:tcPr>
          <w:p>
            <w:pPr>
              <w:ind w:left="320"/>
              <w:spacing w:after="0"/>
              <w:rPr>
                <w:sz w:val="20"/>
                <w:szCs w:val="20"/>
                <w:color w:val="auto"/>
              </w:rPr>
            </w:pPr>
            <w:r>
              <w:rPr>
                <w:rFonts w:ascii="Arial" w:cs="Arial" w:eastAsia="Arial" w:hAnsi="Arial"/>
                <w:sz w:val="15"/>
                <w:szCs w:val="15"/>
                <w:color w:val="auto"/>
              </w:rPr>
              <w:t>Inventories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6,587</w:t>
            </w:r>
          </w:p>
        </w:tc>
      </w:tr>
      <w:tr>
        <w:trPr>
          <w:trHeight w:val="209"/>
        </w:trPr>
        <w:tc>
          <w:tcPr>
            <w:tcW w:w="75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2,312</w:t>
            </w:r>
          </w:p>
        </w:tc>
      </w:tr>
      <w:tr>
        <w:trPr>
          <w:trHeight w:val="196"/>
        </w:trPr>
        <w:tc>
          <w:tcPr>
            <w:tcW w:w="7500" w:type="dxa"/>
            <w:vAlign w:val="bottom"/>
          </w:tcPr>
          <w:p>
            <w:pPr>
              <w:spacing w:after="0"/>
              <w:rPr>
                <w:sz w:val="20"/>
                <w:szCs w:val="20"/>
                <w:color w:val="auto"/>
              </w:rPr>
            </w:pPr>
            <w:r>
              <w:rPr>
                <w:rFonts w:ascii="Arial" w:cs="Arial" w:eastAsia="Arial" w:hAnsi="Arial"/>
                <w:sz w:val="15"/>
                <w:szCs w:val="15"/>
                <w:color w:val="auto"/>
              </w:rPr>
              <w:t>Total current assets, discontinued operations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37,618</w:t>
            </w:r>
          </w:p>
        </w:tc>
      </w:tr>
      <w:tr>
        <w:trPr>
          <w:trHeight w:val="209"/>
        </w:trPr>
        <w:tc>
          <w:tcPr>
            <w:tcW w:w="75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Investment in non-public company, fair value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45,100</w:t>
            </w:r>
          </w:p>
        </w:tc>
      </w:tr>
      <w:tr>
        <w:trPr>
          <w:trHeight w:val="203"/>
        </w:trPr>
        <w:tc>
          <w:tcPr>
            <w:tcW w:w="7500" w:type="dxa"/>
            <w:vAlign w:val="bottom"/>
          </w:tcPr>
          <w:p>
            <w:pPr>
              <w:ind w:left="320"/>
              <w:spacing w:after="0"/>
              <w:rPr>
                <w:sz w:val="20"/>
                <w:szCs w:val="20"/>
                <w:color w:val="auto"/>
              </w:rPr>
            </w:pPr>
            <w:r>
              <w:rPr>
                <w:rFonts w:ascii="Arial" w:cs="Arial" w:eastAsia="Arial" w:hAnsi="Arial"/>
                <w:sz w:val="15"/>
                <w:szCs w:val="15"/>
                <w:color w:val="auto"/>
              </w:rPr>
              <w:t>Property and equipment, net</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59,273</w:t>
            </w:r>
          </w:p>
        </w:tc>
      </w:tr>
      <w:tr>
        <w:trPr>
          <w:trHeight w:val="209"/>
        </w:trPr>
        <w:tc>
          <w:tcPr>
            <w:tcW w:w="75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Operating lease right-of-use assets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3,729</w:t>
            </w:r>
          </w:p>
        </w:tc>
      </w:tr>
      <w:tr>
        <w:trPr>
          <w:trHeight w:val="203"/>
        </w:trPr>
        <w:tc>
          <w:tcPr>
            <w:tcW w:w="7500" w:type="dxa"/>
            <w:vAlign w:val="bottom"/>
          </w:tcPr>
          <w:p>
            <w:pPr>
              <w:ind w:left="320"/>
              <w:spacing w:after="0"/>
              <w:rPr>
                <w:sz w:val="20"/>
                <w:szCs w:val="20"/>
                <w:color w:val="auto"/>
              </w:rPr>
            </w:pPr>
            <w:r>
              <w:rPr>
                <w:rFonts w:ascii="Arial" w:cs="Arial" w:eastAsia="Arial" w:hAnsi="Arial"/>
                <w:sz w:val="15"/>
                <w:szCs w:val="15"/>
                <w:color w:val="auto"/>
              </w:rPr>
              <w:t>Goodwill</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35,470</w:t>
            </w:r>
          </w:p>
        </w:tc>
      </w:tr>
      <w:tr>
        <w:trPr>
          <w:trHeight w:val="209"/>
        </w:trPr>
        <w:tc>
          <w:tcPr>
            <w:tcW w:w="75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Trademarks/tradenames, net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8,228</w:t>
            </w:r>
          </w:p>
        </w:tc>
      </w:tr>
      <w:tr>
        <w:trPr>
          <w:trHeight w:val="203"/>
        </w:trPr>
        <w:tc>
          <w:tcPr>
            <w:tcW w:w="7500" w:type="dxa"/>
            <w:vAlign w:val="bottom"/>
          </w:tcPr>
          <w:p>
            <w:pPr>
              <w:ind w:left="320"/>
              <w:spacing w:after="0"/>
              <w:rPr>
                <w:sz w:val="20"/>
                <w:szCs w:val="20"/>
                <w:color w:val="auto"/>
              </w:rPr>
            </w:pPr>
            <w:r>
              <w:rPr>
                <w:rFonts w:ascii="Arial" w:cs="Arial" w:eastAsia="Arial" w:hAnsi="Arial"/>
                <w:sz w:val="15"/>
                <w:szCs w:val="15"/>
                <w:color w:val="auto"/>
              </w:rPr>
              <w:t>Customer relationships, net</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2,260</w:t>
            </w:r>
          </w:p>
        </w:tc>
      </w:tr>
      <w:tr>
        <w:trPr>
          <w:trHeight w:val="209"/>
        </w:trPr>
        <w:tc>
          <w:tcPr>
            <w:tcW w:w="75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w:t>
            </w:r>
          </w:p>
        </w:tc>
      </w:tr>
      <w:tr>
        <w:trPr>
          <w:trHeight w:val="196"/>
        </w:trPr>
        <w:tc>
          <w:tcPr>
            <w:tcW w:w="75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Total other assets, discontinued operations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154,140</w:t>
            </w:r>
          </w:p>
        </w:tc>
      </w:tr>
      <w:tr>
        <w:trPr>
          <w:trHeight w:val="227"/>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 discontinued operations</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191,758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7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06"/>
        </w:trPr>
        <w:tc>
          <w:tcPr>
            <w:tcW w:w="7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7500" w:type="dxa"/>
            <w:vAlign w:val="bottom"/>
          </w:tcPr>
          <w:p>
            <w:pPr>
              <w:ind w:left="320"/>
              <w:spacing w:after="0"/>
              <w:rPr>
                <w:sz w:val="20"/>
                <w:szCs w:val="20"/>
                <w:color w:val="auto"/>
              </w:rPr>
            </w:pPr>
            <w:r>
              <w:rPr>
                <w:rFonts w:ascii="Arial" w:cs="Arial" w:eastAsia="Arial" w:hAnsi="Arial"/>
                <w:sz w:val="15"/>
                <w:szCs w:val="15"/>
                <w:color w:val="auto"/>
              </w:rPr>
              <w:t>Accounts payable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31,271</w:t>
            </w:r>
          </w:p>
        </w:tc>
      </w:tr>
      <w:tr>
        <w:trPr>
          <w:trHeight w:val="209"/>
        </w:trPr>
        <w:tc>
          <w:tcPr>
            <w:tcW w:w="75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Accrued compensation</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4,550</w:t>
            </w:r>
          </w:p>
        </w:tc>
      </w:tr>
      <w:tr>
        <w:trPr>
          <w:trHeight w:val="203"/>
        </w:trPr>
        <w:tc>
          <w:tcPr>
            <w:tcW w:w="7500" w:type="dxa"/>
            <w:vAlign w:val="bottom"/>
          </w:tcPr>
          <w:p>
            <w:pPr>
              <w:ind w:left="320"/>
              <w:spacing w:after="0"/>
              <w:rPr>
                <w:sz w:val="20"/>
                <w:szCs w:val="20"/>
                <w:color w:val="auto"/>
              </w:rPr>
            </w:pPr>
            <w:r>
              <w:rPr>
                <w:rFonts w:ascii="Arial" w:cs="Arial" w:eastAsia="Arial" w:hAnsi="Arial"/>
                <w:sz w:val="15"/>
                <w:szCs w:val="15"/>
                <w:color w:val="auto"/>
              </w:rPr>
              <w:t>Other accrued liabilities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4,041</w:t>
            </w:r>
          </w:p>
        </w:tc>
      </w:tr>
      <w:tr>
        <w:trPr>
          <w:trHeight w:val="209"/>
        </w:trPr>
        <w:tc>
          <w:tcPr>
            <w:tcW w:w="75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Current portion of lease liabilities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2,289</w:t>
            </w:r>
          </w:p>
        </w:tc>
      </w:tr>
      <w:tr>
        <w:trPr>
          <w:trHeight w:val="203"/>
        </w:trPr>
        <w:tc>
          <w:tcPr>
            <w:tcW w:w="75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Deferred revenue</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493</w:t>
            </w: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Total current liabilities, discontinued operations</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42,644</w:t>
            </w:r>
          </w:p>
        </w:tc>
      </w:tr>
      <w:tr>
        <w:trPr>
          <w:trHeight w:val="203"/>
        </w:trPr>
        <w:tc>
          <w:tcPr>
            <w:tcW w:w="7500" w:type="dxa"/>
            <w:vAlign w:val="bottom"/>
          </w:tcPr>
          <w:p>
            <w:pPr>
              <w:ind w:left="320"/>
              <w:spacing w:after="0"/>
              <w:rPr>
                <w:sz w:val="20"/>
                <w:szCs w:val="20"/>
                <w:color w:val="auto"/>
              </w:rPr>
            </w:pPr>
            <w:r>
              <w:rPr>
                <w:rFonts w:ascii="Arial" w:cs="Arial" w:eastAsia="Arial" w:hAnsi="Arial"/>
                <w:sz w:val="15"/>
                <w:szCs w:val="15"/>
                <w:color w:val="auto"/>
              </w:rPr>
              <w:t>Long-term lease liabilities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3,252</w:t>
            </w:r>
          </w:p>
        </w:tc>
      </w:tr>
      <w:tr>
        <w:trPr>
          <w:trHeight w:val="209"/>
        </w:trPr>
        <w:tc>
          <w:tcPr>
            <w:tcW w:w="75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729</w:t>
            </w:r>
          </w:p>
        </w:tc>
      </w:tr>
      <w:tr>
        <w:trPr>
          <w:trHeight w:val="196"/>
        </w:trPr>
        <w:tc>
          <w:tcPr>
            <w:tcW w:w="75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Non-current liabilities, discontinued operations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3,981</w:t>
            </w:r>
          </w:p>
        </w:tc>
      </w:tr>
      <w:tr>
        <w:trPr>
          <w:trHeight w:val="227"/>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discontinued operations</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46,625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b w:val="1"/>
          <w:bCs w:val="1"/>
          <w:color w:val="auto"/>
        </w:rPr>
        <w:t>Restructuring Costs</w:t>
      </w:r>
    </w:p>
    <w:p>
      <w:pPr>
        <w:spacing w:after="0" w:line="17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During fiscal year 2020, the Company announced a restructuring plan to drive enhanced profitability, focus the business on its strategic assets and redesign the organization to be the appropriate size to compete and thrive. This includes a reduction-in-force, a reduction in leased office spaces and the sale of non-strategic assets.</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summarizes the restructuring costs recognized in the Company’s Consolidated Statements of Operations, by Business Segment for the fiscal year ended May 29,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gridSpan w:val="3"/>
          </w:tcPr>
          <w:p>
            <w:pPr>
              <w:ind w:left="20"/>
              <w:spacing w:after="0"/>
              <w:rPr>
                <w:sz w:val="20"/>
                <w:szCs w:val="20"/>
                <w:color w:val="auto"/>
              </w:rPr>
            </w:pPr>
            <w:r>
              <w:rPr>
                <w:rFonts w:ascii="Arial" w:cs="Arial" w:eastAsia="Arial" w:hAnsi="Arial"/>
                <w:sz w:val="17"/>
                <w:szCs w:val="17"/>
                <w:i w:val="1"/>
                <w:iCs w:val="1"/>
                <w:color w:val="auto"/>
              </w:rPr>
              <w:t>(In thousands)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0"/>
        </w:trPr>
        <w:tc>
          <w:tcPr>
            <w:tcW w:w="5140" w:type="dxa"/>
            <w:vAlign w:val="bottom"/>
            <w:gridSpan w:val="3"/>
          </w:tcPr>
          <w:p>
            <w:pPr>
              <w:ind w:left="20"/>
              <w:spacing w:after="0" w:line="180" w:lineRule="exact"/>
              <w:rPr>
                <w:sz w:val="20"/>
                <w:szCs w:val="20"/>
                <w:color w:val="auto"/>
              </w:rPr>
            </w:pPr>
            <w:r>
              <w:rPr>
                <w:rFonts w:ascii="Arial" w:cs="Arial" w:eastAsia="Arial" w:hAnsi="Arial"/>
                <w:sz w:val="17"/>
                <w:szCs w:val="17"/>
                <w:i w:val="1"/>
                <w:iCs w:val="1"/>
                <w:color w:val="auto"/>
              </w:rPr>
              <w:t>Year Ended May 29, 2022</w:t>
            </w:r>
          </w:p>
        </w:tc>
        <w:tc>
          <w:tcPr>
            <w:tcW w:w="140" w:type="dxa"/>
            <w:vAlign w:val="bottom"/>
          </w:tcPr>
          <w:p>
            <w:pPr>
              <w:spacing w:after="0"/>
              <w:rPr>
                <w:sz w:val="15"/>
                <w:szCs w:val="15"/>
                <w:color w:val="auto"/>
              </w:rPr>
            </w:pPr>
          </w:p>
        </w:tc>
        <w:tc>
          <w:tcPr>
            <w:tcW w:w="1460" w:type="dxa"/>
            <w:vAlign w:val="bottom"/>
            <w:gridSpan w:val="2"/>
          </w:tcPr>
          <w:p>
            <w:pPr>
              <w:ind w:left="60"/>
              <w:spacing w:after="0" w:line="180" w:lineRule="exact"/>
              <w:rPr>
                <w:sz w:val="20"/>
                <w:szCs w:val="20"/>
                <w:color w:val="auto"/>
              </w:rPr>
            </w:pPr>
            <w:r>
              <w:rPr>
                <w:rFonts w:ascii="Arial" w:cs="Arial" w:eastAsia="Arial" w:hAnsi="Arial"/>
                <w:sz w:val="17"/>
                <w:szCs w:val="17"/>
                <w:color w:val="auto"/>
              </w:rPr>
              <w:t>Curation Foods</w:t>
            </w:r>
          </w:p>
        </w:tc>
        <w:tc>
          <w:tcPr>
            <w:tcW w:w="960" w:type="dxa"/>
            <w:vAlign w:val="bottom"/>
          </w:tcPr>
          <w:p>
            <w:pPr>
              <w:jc w:val="right"/>
              <w:spacing w:after="0" w:line="180" w:lineRule="exact"/>
              <w:rPr>
                <w:sz w:val="20"/>
                <w:szCs w:val="20"/>
                <w:color w:val="auto"/>
              </w:rPr>
            </w:pPr>
            <w:r>
              <w:rPr>
                <w:rFonts w:ascii="Arial" w:cs="Arial" w:eastAsia="Arial" w:hAnsi="Arial"/>
                <w:sz w:val="17"/>
                <w:szCs w:val="17"/>
                <w:color w:val="auto"/>
              </w:rPr>
              <w:t>Other</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54"/>
              <w:spacing w:after="0" w:line="180" w:lineRule="exact"/>
              <w:rPr>
                <w:sz w:val="20"/>
                <w:szCs w:val="20"/>
                <w:color w:val="auto"/>
              </w:rPr>
            </w:pPr>
            <w:r>
              <w:rPr>
                <w:rFonts w:ascii="Arial" w:cs="Arial" w:eastAsia="Arial" w:hAnsi="Arial"/>
                <w:sz w:val="17"/>
                <w:szCs w:val="17"/>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5140" w:type="dxa"/>
            <w:vAlign w:val="bottom"/>
            <w:gridSpan w:val="3"/>
            <w:shd w:val="clear" w:color="auto" w:fill="CCEEFF"/>
          </w:tcPr>
          <w:p>
            <w:pPr>
              <w:ind w:left="20"/>
              <w:spacing w:after="0" w:line="172" w:lineRule="exact"/>
              <w:rPr>
                <w:sz w:val="20"/>
                <w:szCs w:val="20"/>
                <w:color w:val="auto"/>
              </w:rPr>
            </w:pPr>
            <w:r>
              <w:rPr>
                <w:rFonts w:ascii="Arial" w:cs="Arial" w:eastAsia="Arial" w:hAnsi="Arial"/>
                <w:sz w:val="17"/>
                <w:szCs w:val="17"/>
                <w:color w:val="auto"/>
              </w:rPr>
              <w:t>Asset write-off costs</w:t>
            </w:r>
          </w:p>
        </w:tc>
        <w:tc>
          <w:tcPr>
            <w:tcW w:w="14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3,693</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74"/>
              <w:spacing w:after="0" w:line="172" w:lineRule="exact"/>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34"/>
              <w:spacing w:after="0" w:line="172" w:lineRule="exact"/>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3,693</w:t>
            </w:r>
          </w:p>
        </w:tc>
      </w:tr>
      <w:tr>
        <w:trPr>
          <w:trHeight w:val="193"/>
        </w:trPr>
        <w:tc>
          <w:tcPr>
            <w:tcW w:w="5140" w:type="dxa"/>
            <w:vAlign w:val="bottom"/>
            <w:gridSpan w:val="3"/>
          </w:tcPr>
          <w:p>
            <w:pPr>
              <w:ind w:left="20"/>
              <w:spacing w:after="0" w:line="194" w:lineRule="exact"/>
              <w:rPr>
                <w:sz w:val="20"/>
                <w:szCs w:val="20"/>
                <w:color w:val="auto"/>
              </w:rPr>
            </w:pPr>
            <w:r>
              <w:rPr>
                <w:rFonts w:ascii="Arial" w:cs="Arial" w:eastAsia="Arial" w:hAnsi="Arial"/>
                <w:sz w:val="17"/>
                <w:szCs w:val="17"/>
                <w:color w:val="auto"/>
              </w:rPr>
              <w:t>Employee severance and benefit costs</w:t>
            </w:r>
          </w:p>
        </w:tc>
        <w:tc>
          <w:tcPr>
            <w:tcW w:w="140" w:type="dxa"/>
            <w:vAlign w:val="bottom"/>
          </w:tcPr>
          <w:p>
            <w:pPr>
              <w:spacing w:after="0"/>
              <w:rPr>
                <w:sz w:val="16"/>
                <w:szCs w:val="16"/>
                <w:color w:val="auto"/>
              </w:rPr>
            </w:pP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371</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371</w:t>
            </w:r>
          </w:p>
        </w:tc>
      </w:tr>
      <w:tr>
        <w:trPr>
          <w:trHeight w:val="193"/>
        </w:trPr>
        <w:tc>
          <w:tcPr>
            <w:tcW w:w="5140" w:type="dxa"/>
            <w:vAlign w:val="bottom"/>
            <w:gridSpan w:val="3"/>
            <w:shd w:val="clear" w:color="auto" w:fill="CCEEFF"/>
          </w:tcPr>
          <w:p>
            <w:pPr>
              <w:ind w:left="20"/>
              <w:spacing w:after="0" w:line="194" w:lineRule="exact"/>
              <w:rPr>
                <w:sz w:val="20"/>
                <w:szCs w:val="20"/>
                <w:color w:val="auto"/>
              </w:rPr>
            </w:pPr>
            <w:r>
              <w:rPr>
                <w:rFonts w:ascii="Arial" w:cs="Arial" w:eastAsia="Arial" w:hAnsi="Arial"/>
                <w:sz w:val="17"/>
                <w:szCs w:val="17"/>
                <w:color w:val="auto"/>
              </w:rPr>
              <w:t>Lease costs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2,072</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2,072</w:t>
            </w:r>
          </w:p>
        </w:tc>
      </w:tr>
      <w:tr>
        <w:trPr>
          <w:trHeight w:val="193"/>
        </w:trPr>
        <w:tc>
          <w:tcPr>
            <w:tcW w:w="5140" w:type="dxa"/>
            <w:vAlign w:val="bottom"/>
            <w:tcBorders>
              <w:bottom w:val="single" w:sz="8" w:color="CCEEFF"/>
            </w:tcBorders>
            <w:gridSpan w:val="3"/>
          </w:tcPr>
          <w:p>
            <w:pPr>
              <w:ind w:left="20"/>
              <w:spacing w:after="0" w:line="194" w:lineRule="exact"/>
              <w:rPr>
                <w:sz w:val="20"/>
                <w:szCs w:val="20"/>
                <w:color w:val="auto"/>
              </w:rPr>
            </w:pPr>
            <w:r>
              <w:rPr>
                <w:rFonts w:ascii="Arial" w:cs="Arial" w:eastAsia="Arial" w:hAnsi="Arial"/>
                <w:sz w:val="17"/>
                <w:szCs w:val="17"/>
                <w:color w:val="auto"/>
              </w:rPr>
              <w:t>Other restructuring costs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289</w:t>
            </w: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3"/>
              </w:rPr>
              <w:t>2,536</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2,825</w:t>
            </w: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5120" w:type="dxa"/>
            <w:vAlign w:val="bottom"/>
            <w:tcBorders>
              <w:bottom w:val="single" w:sz="8" w:color="CCEEFF"/>
            </w:tcBorders>
            <w:gridSpan w:val="2"/>
            <w:shd w:val="clear" w:color="auto" w:fill="CCEEFF"/>
          </w:tcPr>
          <w:p>
            <w:pPr>
              <w:ind w:left="100"/>
              <w:spacing w:after="0" w:line="186" w:lineRule="exact"/>
              <w:rPr>
                <w:sz w:val="20"/>
                <w:szCs w:val="20"/>
                <w:color w:val="auto"/>
              </w:rPr>
            </w:pPr>
            <w:r>
              <w:rPr>
                <w:rFonts w:ascii="Arial" w:cs="Arial" w:eastAsia="Arial" w:hAnsi="Arial"/>
                <w:sz w:val="17"/>
                <w:szCs w:val="17"/>
                <w:color w:val="auto"/>
              </w:rPr>
              <w:t>Total restructuring costs</w:t>
            </w:r>
          </w:p>
        </w:tc>
        <w:tc>
          <w:tcPr>
            <w:tcW w:w="1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6,425</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74"/>
              <w:spacing w:after="0" w:line="186" w:lineRule="exact"/>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3"/>
              </w:rPr>
              <w:t>2,536</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4"/>
              <w:spacing w:after="0" w:line="186"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8,961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5" w:name="page96"/>
    <w:bookmarkEnd w:id="95"/>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Write-off Costs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Asset write-off costs are costs related to impairment or disposal of property and equipment as part of the Company's restructuring plan to drive enhanced profitability, focus the business on its strategic assets and redesign the organization to be the appropriate size to compete and thrive. These costs are included in restructuring costs within the Consolidated Statements of Operations.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During the fiscal year ended May 31, 2020, the Company closed escrow on the San Rafael, California property and recognized a $0.4 million impairment loss, which is included in Restructuring costs within the Consolidated Statements of Operations. The Company received net cash proceeds of $2.4 million in connection with the sale.</w:t>
      </w:r>
    </w:p>
    <w:p>
      <w:pPr>
        <w:spacing w:after="0" w:line="201"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In the fourth quarter of fiscal year 2020, the Company recognized a $1.9 million impairment loss related to BreatheWay equipment as a result of a strategic shift in our BreatheWay business model driven by our restructuring plan. In the third quarter of fiscal year 2021, the Company recognized an additional $1.9 million impairment loss related to BreatheWay equipment as a result of a strategic shift in our BreatheWay business model driven by our restructuring plan.</w:t>
      </w:r>
    </w:p>
    <w:p>
      <w:pPr>
        <w:spacing w:after="0" w:line="16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Company leases its main office located in Santa Maria, California (the “Santa Maria Office”). During the third quarter of fiscal year 2022, the Company approved a plan to explore opportunities to sub lease its Santa Maria Office. The Santa Maria Office assets, included as lease hold improvements within property and equipment, net, has been designated as held for use within the Consolidated Balance Sheets as of May 29, 2022, as no finalized plan for disposition existed at the balance sheet date. The Company recognized a $5.3 million impairment loss, which is included in Restructuring costs within the Consolidated Statements of Operations ($3.7 million included in asset write-off costs related to lease hold improvements impairment and $1.6 million included in lease costs related to right-of-use asset impairment). The Company expects to complete the sublease plan within the next 12 months.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Severance and Benefit Costs</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Employee severance and benefit costs are costs incurred as a result of reduction-in-force driven by our restructuring plan and closure of offices and facilities. These costs were driven primarily by the closure of our San Rafael, California office, Santa Clara, California office, and Los Angeles, California office.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 Costs</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August 2020, the Company closed its leased Santa Clara, California office and entered into a sublease agreement. In the fourth quarter of fiscal year 2020 the Company closed its leased Los Angeles, California office and plans to sublease the office. As noted in the Asset write-off costs section, the Company approved a plan to explore opportunities to sublease its Santa Maria Office and expects to complete the sublease plan within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restructuring costs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Other restructuring costs primarily related to consulting costs to execute the Company’s restructuring plan to drive enhanced profitability, focus the business on its strategic assets, and redesign the organization to be the appropriate size to compete and thrive.</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summarizes the restructuring costs recognized in the Company’s Consolidated Statements of Operations by Business Segment, since inception of the restructuring plan in fiscal year 2020 through the fiscal year ended May 29, 2022, excluding discontinued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4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auto"/>
              </w:rPr>
              <w:t>Curation Foods</w:t>
            </w:r>
          </w:p>
        </w:tc>
        <w:tc>
          <w:tcPr>
            <w:tcW w:w="960" w:type="dxa"/>
            <w:vAlign w:val="bottom"/>
          </w:tcPr>
          <w:p>
            <w:pPr>
              <w:jc w:val="right"/>
              <w:spacing w:after="0"/>
              <w:rPr>
                <w:sz w:val="20"/>
                <w:szCs w:val="20"/>
                <w:color w:val="auto"/>
              </w:rPr>
            </w:pPr>
            <w:r>
              <w:rPr>
                <w:rFonts w:ascii="Arial" w:cs="Arial" w:eastAsia="Arial" w:hAnsi="Arial"/>
                <w:sz w:val="17"/>
                <w:szCs w:val="17"/>
                <w:color w:val="auto"/>
              </w:rPr>
              <w:t>Other</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color w:val="auto"/>
              </w:rPr>
              <w:t>Total</w:t>
            </w:r>
          </w:p>
        </w:tc>
      </w:tr>
      <w:tr>
        <w:trPr>
          <w:trHeight w:val="186"/>
        </w:trPr>
        <w:tc>
          <w:tcPr>
            <w:tcW w:w="5140" w:type="dxa"/>
            <w:vAlign w:val="bottom"/>
            <w:tcBorders>
              <w:top w:val="single" w:sz="8" w:color="CCEEFF"/>
            </w:tcBorders>
            <w:shd w:val="clear" w:color="auto" w:fill="CCEEFF"/>
          </w:tcPr>
          <w:p>
            <w:pPr>
              <w:ind w:left="20"/>
              <w:spacing w:after="0" w:line="186" w:lineRule="exact"/>
              <w:rPr>
                <w:sz w:val="20"/>
                <w:szCs w:val="20"/>
                <w:color w:val="auto"/>
              </w:rPr>
            </w:pPr>
            <w:r>
              <w:rPr>
                <w:rFonts w:ascii="Arial" w:cs="Arial" w:eastAsia="Arial" w:hAnsi="Arial"/>
                <w:sz w:val="17"/>
                <w:szCs w:val="17"/>
                <w:color w:val="auto"/>
              </w:rPr>
              <w:t>Asset write-off costs</w:t>
            </w:r>
          </w:p>
        </w:tc>
        <w:tc>
          <w:tcPr>
            <w:tcW w:w="1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7,552</w:t>
            </w:r>
          </w:p>
        </w:tc>
        <w:tc>
          <w:tcPr>
            <w:tcW w:w="1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774"/>
              <w:spacing w:after="0" w:line="186"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418</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34"/>
              <w:spacing w:after="0" w:line="186" w:lineRule="exact"/>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7,970</w:t>
            </w:r>
          </w:p>
        </w:tc>
      </w:tr>
      <w:tr>
        <w:trPr>
          <w:trHeight w:val="193"/>
        </w:trPr>
        <w:tc>
          <w:tcPr>
            <w:tcW w:w="5140" w:type="dxa"/>
            <w:vAlign w:val="bottom"/>
          </w:tcPr>
          <w:p>
            <w:pPr>
              <w:ind w:left="20"/>
              <w:spacing w:after="0" w:line="194" w:lineRule="exact"/>
              <w:rPr>
                <w:sz w:val="20"/>
                <w:szCs w:val="20"/>
                <w:color w:val="auto"/>
              </w:rPr>
            </w:pPr>
            <w:r>
              <w:rPr>
                <w:rFonts w:ascii="Arial" w:cs="Arial" w:eastAsia="Arial" w:hAnsi="Arial"/>
                <w:sz w:val="17"/>
                <w:szCs w:val="17"/>
                <w:color w:val="auto"/>
              </w:rPr>
              <w:t>Employee severance and benefit costs</w:t>
            </w:r>
          </w:p>
        </w:tc>
        <w:tc>
          <w:tcPr>
            <w:tcW w:w="140" w:type="dxa"/>
            <w:vAlign w:val="bottom"/>
          </w:tcPr>
          <w:p>
            <w:pPr>
              <w:spacing w:after="0"/>
              <w:rPr>
                <w:sz w:val="16"/>
                <w:szCs w:val="16"/>
                <w:color w:val="auto"/>
              </w:rPr>
            </w:pP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559</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line="194" w:lineRule="exact"/>
              <w:rPr>
                <w:sz w:val="20"/>
                <w:szCs w:val="20"/>
                <w:color w:val="auto"/>
              </w:rPr>
            </w:pPr>
            <w:r>
              <w:rPr>
                <w:rFonts w:ascii="Arial" w:cs="Arial" w:eastAsia="Arial" w:hAnsi="Arial"/>
                <w:sz w:val="17"/>
                <w:szCs w:val="17"/>
                <w:color w:val="auto"/>
              </w:rPr>
              <w:t>784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1,343</w:t>
            </w:r>
          </w:p>
        </w:tc>
      </w:tr>
      <w:tr>
        <w:trPr>
          <w:trHeight w:val="193"/>
        </w:trPr>
        <w:tc>
          <w:tcPr>
            <w:tcW w:w="51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Lease costs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2,218</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2,244</w:t>
            </w:r>
          </w:p>
        </w:tc>
      </w:tr>
      <w:tr>
        <w:trPr>
          <w:trHeight w:val="193"/>
        </w:trPr>
        <w:tc>
          <w:tcPr>
            <w:tcW w:w="5140" w:type="dxa"/>
            <w:vAlign w:val="bottom"/>
            <w:tcBorders>
              <w:bottom w:val="single" w:sz="8" w:color="CCEEFF"/>
            </w:tcBorders>
          </w:tcPr>
          <w:p>
            <w:pPr>
              <w:ind w:left="20"/>
              <w:spacing w:after="0" w:line="194" w:lineRule="exact"/>
              <w:rPr>
                <w:sz w:val="20"/>
                <w:szCs w:val="20"/>
                <w:color w:val="auto"/>
              </w:rPr>
            </w:pPr>
            <w:r>
              <w:rPr>
                <w:rFonts w:ascii="Arial" w:cs="Arial" w:eastAsia="Arial" w:hAnsi="Arial"/>
                <w:sz w:val="17"/>
                <w:szCs w:val="17"/>
                <w:color w:val="auto"/>
              </w:rPr>
              <w:t>Other restructuring costs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323</w:t>
            </w: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3"/>
              </w:rPr>
              <w:t>4,898</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5,221</w:t>
            </w:r>
          </w:p>
        </w:tc>
      </w:tr>
      <w:tr>
        <w:trPr>
          <w:trHeight w:val="211"/>
        </w:trPr>
        <w:tc>
          <w:tcPr>
            <w:tcW w:w="5140" w:type="dxa"/>
            <w:vAlign w:val="bottom"/>
            <w:tcBorders>
              <w:bottom w:val="single" w:sz="8" w:color="CCEEFF"/>
            </w:tcBorders>
            <w:shd w:val="clear" w:color="auto" w:fill="CCEEFF"/>
          </w:tcPr>
          <w:p>
            <w:pPr>
              <w:ind w:left="120"/>
              <w:spacing w:after="0" w:line="186" w:lineRule="exact"/>
              <w:rPr>
                <w:sz w:val="20"/>
                <w:szCs w:val="20"/>
                <w:color w:val="auto"/>
              </w:rPr>
            </w:pPr>
            <w:r>
              <w:rPr>
                <w:rFonts w:ascii="Arial" w:cs="Arial" w:eastAsia="Arial" w:hAnsi="Arial"/>
                <w:sz w:val="17"/>
                <w:szCs w:val="17"/>
                <w:color w:val="auto"/>
              </w:rPr>
              <w:t>Total restructuring costs</w:t>
            </w:r>
          </w:p>
        </w:tc>
        <w:tc>
          <w:tcPr>
            <w:tcW w:w="1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10,652</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74"/>
              <w:spacing w:after="0" w:line="186" w:lineRule="exact"/>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3"/>
              </w:rPr>
              <w:t>6,126</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4"/>
              <w:spacing w:after="0" w:line="186"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16,778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total expected cost related to the restructuring plan is approximately $23.0 million.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6" w:name="page97"/>
    <w:bookmarkEnd w:id="96"/>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Correction of Error in Previously Reported Fiscal Year 2022 Interim Financial Statements (Unaudited)</w:t>
      </w:r>
    </w:p>
    <w:p>
      <w:pPr>
        <w:spacing w:after="0" w:line="236" w:lineRule="exact"/>
        <w:rPr>
          <w:sz w:val="20"/>
          <w:szCs w:val="20"/>
          <w:color w:val="auto"/>
        </w:rPr>
      </w:pPr>
    </w:p>
    <w:p>
      <w:pPr>
        <w:ind w:right="60" w:firstLine="619"/>
        <w:spacing w:after="0" w:line="258" w:lineRule="auto"/>
        <w:rPr>
          <w:sz w:val="20"/>
          <w:szCs w:val="20"/>
          <w:color w:val="auto"/>
        </w:rPr>
      </w:pPr>
      <w:r>
        <w:rPr>
          <w:rFonts w:ascii="Arial" w:cs="Arial" w:eastAsia="Arial" w:hAnsi="Arial"/>
          <w:sz w:val="16"/>
          <w:szCs w:val="16"/>
          <w:color w:val="auto"/>
        </w:rPr>
        <w:t>This note is repeated, unchanged, from what previously was reported in Note 1 - Correction of Error in Previously Reported Fiscal Year 2022 Annual Financial Statements to our consolidated financial statements included in Part IV, Item 15 of the Annual Report on Form 10-K. The Company is restating (the “Prior Restatement”) its previously issued (i) unaudited consolidated balance sheets as of February 27, 2022 and May 30, 2021, (ii) unaudited consolidated statements of comprehensive (loss) income for the three and nine months ended February 27, 2022, (iii) unaudited consolidated statement of cash flows for the nine months ended February 27, 2022, (iv) unaudited consolidated statement of changes in stockholders' equity, and (v) unaudited Note 4, Note 7, Note 8, and Note 9 to the consolidated financial statements, in each case, as previously reported in our Quarterly Report on Form 10-Q for the period ended February 27, 2022 (the “Prior Q3 Interim Financial Statements”). We assessed the materiality of this error in accordance with the U.S. Securities and Exchange Commission Staff Accounting Bulletin No. 99, Materiality and have concluded that the Q3 Interim Prior Financial Statements should be restated.</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restatement reflected in the tables below results from corrections by us primarily related to:</w:t>
      </w:r>
    </w:p>
    <w:p>
      <w:pPr>
        <w:spacing w:after="0" w:line="178" w:lineRule="exact"/>
        <w:rPr>
          <w:sz w:val="20"/>
          <w:szCs w:val="20"/>
          <w:color w:val="auto"/>
        </w:rPr>
      </w:pPr>
    </w:p>
    <w:p>
      <w:pPr>
        <w:jc w:val="both"/>
        <w:ind w:firstLine="622"/>
        <w:spacing w:after="0" w:line="262" w:lineRule="auto"/>
        <w:tabs>
          <w:tab w:leader="none" w:pos="82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classification of certain expenses and the recording of accruals related to the Company’s recent disposition activities and the Company’s corporate transition of Landec Corporation to Lifecore Biomedical, which were previously classified as restructuring expenses from continuing operations in our Prior Q3 Interim Financial Statements, but which the Company intends to correct to classify as selling, general and administrative expenses, and cost of goods sold within continuing operations;</w:t>
      </w:r>
    </w:p>
    <w:p>
      <w:pPr>
        <w:spacing w:after="0" w:line="151" w:lineRule="exact"/>
        <w:rPr>
          <w:rFonts w:ascii="Arial" w:cs="Arial" w:eastAsia="Arial" w:hAnsi="Arial"/>
          <w:sz w:val="17"/>
          <w:szCs w:val="17"/>
          <w:color w:val="auto"/>
        </w:rPr>
      </w:pPr>
    </w:p>
    <w:p>
      <w:pPr>
        <w:jc w:val="both"/>
        <w:ind w:firstLine="622"/>
        <w:spacing w:after="0" w:line="307" w:lineRule="auto"/>
        <w:tabs>
          <w:tab w:leader="none" w:pos="878"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treatment of the fees received and costs incurred by the Company pursuant to the transition services agreement related to the sale of the Curation Foods’ Eat Smart business (the “TSA”), for which the Company had previously recognized the net of the TSA fees received and costs incurred as loss on sale of Eat Smart within discontinued operations, but for which the Company intends to correct to classify the TSA fees received by the Company within transition services income and the TSA costs incurred by the Company as selling, general and administrative expenses within continuing operations; and</w:t>
      </w:r>
    </w:p>
    <w:p>
      <w:pPr>
        <w:spacing w:after="0" w:line="110" w:lineRule="exact"/>
        <w:rPr>
          <w:rFonts w:ascii="Arial" w:cs="Arial" w:eastAsia="Arial" w:hAnsi="Arial"/>
          <w:sz w:val="15"/>
          <w:szCs w:val="15"/>
          <w:color w:val="auto"/>
        </w:rPr>
      </w:pPr>
    </w:p>
    <w:p>
      <w:pPr>
        <w:jc w:val="both"/>
        <w:ind w:firstLine="622"/>
        <w:spacing w:after="0" w:line="266" w:lineRule="auto"/>
        <w:tabs>
          <w:tab w:leader="none" w:pos="94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classification of certain costs and expenses related to the Company’s recent disposition activities and the Company’s corporate transition of Landec Corporation to Lifecore Biomedical, which were previously classified as loss on sale of Eat Smart within discontinued operations, but which the Company intends to correct to classify as selling, general and administrative expenses within continuing operations.</w:t>
      </w:r>
    </w:p>
    <w:p>
      <w:pPr>
        <w:spacing w:after="0" w:line="136"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effects of this error on our previously reported February 27, 2022 and May 30, 2021 consolidated balance sheets as presented in the Company’s fiscal year 2022 third quarter Form 10-Q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i w:val="1"/>
                <w:iCs w:val="1"/>
                <w:color w:val="auto"/>
                <w:w w:val="90"/>
              </w:rPr>
              <w:t>As reported</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i w:val="1"/>
                <w:iCs w:val="1"/>
                <w:color w:val="auto"/>
                <w:w w:val="97"/>
              </w:rPr>
              <w:t>As restated</w:t>
            </w: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520" w:type="dxa"/>
            <w:vAlign w:val="bottom"/>
            <w:gridSpan w:val="3"/>
          </w:tcPr>
          <w:p>
            <w:pPr>
              <w:jc w:val="center"/>
              <w:ind w:right="100"/>
              <w:spacing w:after="0"/>
              <w:rPr>
                <w:sz w:val="20"/>
                <w:szCs w:val="20"/>
                <w:color w:val="auto"/>
              </w:rPr>
            </w:pPr>
            <w:r>
              <w:rPr>
                <w:rFonts w:ascii="Arial" w:cs="Arial" w:eastAsia="Arial" w:hAnsi="Arial"/>
                <w:sz w:val="17"/>
                <w:szCs w:val="17"/>
                <w:color w:val="auto"/>
                <w:w w:val="90"/>
              </w:rPr>
              <w:t>February 27, 2022</w:t>
            </w: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color w:val="auto"/>
              </w:rPr>
              <w:t>Adjustment</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w w:val="94"/>
              </w:rPr>
              <w:t>February 27, 2022</w:t>
            </w:r>
          </w:p>
        </w:tc>
      </w:tr>
      <w:tr>
        <w:trPr>
          <w:trHeight w:val="200"/>
        </w:trPr>
        <w:tc>
          <w:tcPr>
            <w:tcW w:w="6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8"/>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accrued liabilities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13,735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14,083</w:t>
            </w: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90,413</w:t>
            </w:r>
          </w:p>
        </w:tc>
      </w:tr>
      <w:tr>
        <w:trPr>
          <w:trHeight w:val="244"/>
        </w:trPr>
        <w:tc>
          <w:tcPr>
            <w:tcW w:w="682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181,510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181,858</w:t>
            </w:r>
          </w:p>
        </w:tc>
      </w:tr>
      <w:tr>
        <w:trPr>
          <w:trHeight w:val="246"/>
        </w:trPr>
        <w:tc>
          <w:tcPr>
            <w:tcW w:w="6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Retained earnings (accumulated deficit)</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(22,188)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(22,536)</w:t>
            </w:r>
          </w:p>
        </w:tc>
      </w:tr>
      <w:tr>
        <w:trPr>
          <w:trHeight w:val="224"/>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144,072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143,724</w:t>
            </w:r>
          </w:p>
        </w:tc>
      </w:tr>
      <w:tr>
        <w:trPr>
          <w:trHeight w:val="23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325,582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325,582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791"/>
        </w:trPr>
        <w:tc>
          <w:tcPr>
            <w:tcW w:w="62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i w:val="1"/>
                <w:iCs w:val="1"/>
                <w:color w:val="auto"/>
                <w:w w:val="90"/>
              </w:rPr>
              <w:t>As reported</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i w:val="1"/>
                <w:iCs w:val="1"/>
                <w:color w:val="auto"/>
              </w:rPr>
              <w:t>As restated</w:t>
            </w:r>
          </w:p>
        </w:tc>
      </w:tr>
      <w:tr>
        <w:trPr>
          <w:trHeight w:val="213"/>
        </w:trPr>
        <w:tc>
          <w:tcPr>
            <w:tcW w:w="6820" w:type="dxa"/>
            <w:vAlign w:val="bottom"/>
            <w:gridSpan w:val="3"/>
          </w:tcPr>
          <w:p>
            <w:pPr>
              <w:ind w:left="20"/>
              <w:spacing w:after="0"/>
              <w:rPr>
                <w:sz w:val="20"/>
                <w:szCs w:val="20"/>
                <w:color w:val="auto"/>
              </w:rPr>
            </w:pPr>
            <w:r>
              <w:rPr>
                <w:rFonts w:ascii="Arial" w:cs="Arial" w:eastAsia="Arial" w:hAnsi="Arial"/>
                <w:sz w:val="17"/>
                <w:szCs w:val="17"/>
                <w:i w:val="1"/>
                <w:iCs w:val="1"/>
                <w:color w:val="auto"/>
              </w:rPr>
              <w:t>(in thousands)</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May 30, 2021</w:t>
            </w: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color w:val="auto"/>
              </w:rPr>
              <w:t>Adjustment</w:t>
            </w:r>
          </w:p>
        </w:tc>
        <w:tc>
          <w:tcPr>
            <w:tcW w:w="160" w:type="dxa"/>
            <w:vAlign w:val="bottom"/>
          </w:tcPr>
          <w:p>
            <w:pPr>
              <w:spacing w:after="0"/>
              <w:rPr>
                <w:sz w:val="18"/>
                <w:szCs w:val="18"/>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30, 2021</w:t>
            </w:r>
          </w:p>
        </w:tc>
      </w:tr>
      <w:tr>
        <w:trPr>
          <w:trHeight w:val="200"/>
        </w:trPr>
        <w:tc>
          <w:tcPr>
            <w:tcW w:w="68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8"/>
        </w:trPr>
        <w:tc>
          <w:tcPr>
            <w:tcW w:w="6820" w:type="dxa"/>
            <w:vAlign w:val="bottom"/>
            <w:gridSpan w:val="3"/>
          </w:tcPr>
          <w:p>
            <w:pPr>
              <w:ind w:left="12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112,770</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7,516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120,286</w:t>
            </w:r>
          </w:p>
        </w:tc>
      </w:tr>
      <w:tr>
        <w:trPr>
          <w:trHeight w:val="220"/>
        </w:trPr>
        <w:tc>
          <w:tcPr>
            <w:tcW w:w="6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Operating lease right-of-use assets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17,098</w:t>
            </w:r>
          </w:p>
        </w:tc>
      </w:tr>
      <w:tr>
        <w:trPr>
          <w:trHeight w:val="218"/>
        </w:trPr>
        <w:tc>
          <w:tcPr>
            <w:tcW w:w="682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Other assets, discontinued operations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171,274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154,140</w:t>
            </w:r>
          </w:p>
        </w:tc>
      </w:tr>
      <w:tr>
        <w:trPr>
          <w:trHeight w:val="213"/>
        </w:trPr>
        <w:tc>
          <w:tcPr>
            <w:tcW w:w="6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502,924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502,924</w:t>
            </w:r>
          </w:p>
        </w:tc>
      </w:tr>
      <w:tr>
        <w:trPr>
          <w:trHeight w:val="219"/>
        </w:trPr>
        <w:tc>
          <w:tcPr>
            <w:tcW w:w="6820" w:type="dxa"/>
            <w:vAlign w:val="bottom"/>
            <w:gridSpan w:val="3"/>
          </w:tcPr>
          <w:p>
            <w:pPr>
              <w:ind w:left="40"/>
              <w:spacing w:after="0"/>
              <w:rPr>
                <w:sz w:val="20"/>
                <w:szCs w:val="20"/>
                <w:color w:val="auto"/>
              </w:rPr>
            </w:pPr>
            <w:r>
              <w:rPr>
                <w:rFonts w:ascii="Arial" w:cs="Arial" w:eastAsia="Arial" w:hAnsi="Arial"/>
                <w:sz w:val="17"/>
                <w:szCs w:val="17"/>
                <w:b w:val="1"/>
                <w:bCs w:val="1"/>
                <w:color w:val="auto"/>
              </w:rPr>
              <w:t>LIABILITIES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68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Current portion of lease liabilities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w:t>
            </w:r>
          </w:p>
        </w:tc>
      </w:tr>
      <w:tr>
        <w:trPr>
          <w:trHeight w:val="218"/>
        </w:trPr>
        <w:tc>
          <w:tcPr>
            <w:tcW w:w="682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Current liabilities, discontinued operations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42,779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42,644</w:t>
            </w:r>
          </w:p>
        </w:tc>
      </w:tr>
      <w:tr>
        <w:trPr>
          <w:trHeight w:val="226"/>
        </w:trPr>
        <w:tc>
          <w:tcPr>
            <w:tcW w:w="6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101,888</w:t>
            </w:r>
          </w:p>
        </w:tc>
      </w:tr>
      <w:tr>
        <w:trPr>
          <w:trHeight w:val="244"/>
        </w:trPr>
        <w:tc>
          <w:tcPr>
            <w:tcW w:w="6820" w:type="dxa"/>
            <w:vAlign w:val="bottom"/>
            <w:gridSpan w:val="3"/>
          </w:tcPr>
          <w:p>
            <w:pPr>
              <w:ind w:left="120"/>
              <w:spacing w:after="0"/>
              <w:rPr>
                <w:sz w:val="20"/>
                <w:szCs w:val="20"/>
                <w:color w:val="auto"/>
              </w:rPr>
            </w:pPr>
            <w:r>
              <w:rPr>
                <w:rFonts w:ascii="Arial" w:cs="Arial" w:eastAsia="Arial" w:hAnsi="Arial"/>
                <w:sz w:val="17"/>
                <w:szCs w:val="17"/>
                <w:color w:val="auto"/>
              </w:rPr>
              <w:t>Long-term lease liabilities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9,581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10,778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20,359</w:t>
            </w:r>
          </w:p>
        </w:tc>
      </w:tr>
      <w:tr>
        <w:trPr>
          <w:trHeight w:val="245"/>
        </w:trPr>
        <w:tc>
          <w:tcPr>
            <w:tcW w:w="6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Non-current liabilities, discontinued operations</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14,759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3,981</w:t>
            </w:r>
          </w:p>
        </w:tc>
      </w:tr>
      <w:tr>
        <w:trPr>
          <w:trHeight w:val="213"/>
        </w:trPr>
        <w:tc>
          <w:tcPr>
            <w:tcW w:w="6820" w:type="dxa"/>
            <w:vAlign w:val="bottom"/>
            <w:gridSpan w:val="3"/>
          </w:tcPr>
          <w:p>
            <w:pPr>
              <w:ind w:left="20"/>
              <w:spacing w:after="0"/>
              <w:rPr>
                <w:sz w:val="20"/>
                <w:szCs w:val="20"/>
                <w:color w:val="auto"/>
              </w:rPr>
            </w:pPr>
            <w:r>
              <w:rPr>
                <w:rFonts w:ascii="Arial" w:cs="Arial" w:eastAsia="Arial" w:hAnsi="Arial"/>
                <w:sz w:val="17"/>
                <w:szCs w:val="17"/>
                <w:color w:val="auto"/>
              </w:rPr>
              <w:t>Total Liabilities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300,140</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300,140</w:t>
            </w:r>
          </w:p>
        </w:tc>
      </w:tr>
      <w:tr>
        <w:trPr>
          <w:trHeight w:val="20"/>
        </w:trPr>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98" w:name="page99"/>
    <w:bookmarkEnd w:id="98"/>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effects of this error on our previously reported fiscal year 2022 interim consolidated statements of comprehensive (loss) income for the three-month period ended February 27, 2022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i w:val="1"/>
                <w:iCs w:val="1"/>
                <w:color w:val="auto"/>
                <w:w w:val="90"/>
              </w:rPr>
              <w:t>As reported</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i w:val="1"/>
                <w:iCs w:val="1"/>
                <w:color w:val="auto"/>
                <w:w w:val="97"/>
              </w:rPr>
              <w:t>As restated</w:t>
            </w: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 except per share amounts)</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0"/>
              </w:rPr>
              <w:t>February 27, 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Adjustment</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4"/>
              </w:rPr>
              <w:t>February 27, 2022</w:t>
            </w: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sales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53,074</w:t>
            </w:r>
          </w:p>
        </w:tc>
      </w:tr>
      <w:tr>
        <w:trPr>
          <w:trHeight w:val="21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product sales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39,179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39,854</w:t>
            </w: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13,220</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Operating costs and expenses: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6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2,056</w:t>
            </w: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Selling, general and administrative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9,725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6,625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16,350</w:t>
            </w:r>
          </w:p>
        </w:tc>
      </w:tr>
      <w:tr>
        <w:trPr>
          <w:trHeight w:val="220"/>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Restructuring cost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5,270</w:t>
            </w:r>
          </w:p>
        </w:tc>
      </w:tr>
      <w:tr>
        <w:trPr>
          <w:trHeight w:val="224"/>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costs and expenses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23,676</w:t>
            </w: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(10,456)</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(4,105)</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Transition services income</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5,473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5,473</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r>
      <w:tr>
        <w:trPr>
          <w:trHeight w:val="211"/>
        </w:trPr>
        <w:tc>
          <w:tcPr>
            <w:tcW w:w="6820" w:type="dxa"/>
            <w:vAlign w:val="bottom"/>
          </w:tcPr>
          <w:p>
            <w:pPr>
              <w:ind w:left="20"/>
              <w:spacing w:after="0"/>
              <w:rPr>
                <w:sz w:val="20"/>
                <w:szCs w:val="20"/>
                <w:color w:val="auto"/>
              </w:rPr>
            </w:pPr>
            <w:r>
              <w:rPr>
                <w:rFonts w:ascii="Arial" w:cs="Arial" w:eastAsia="Arial" w:hAnsi="Arial"/>
                <w:sz w:val="17"/>
                <w:szCs w:val="17"/>
                <w:color w:val="auto"/>
              </w:rPr>
              <w:t>Net loss from continuing operations before taxes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(7,382)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(8,614)</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w:t>
            </w:r>
          </w:p>
        </w:tc>
      </w:tr>
      <w:tr>
        <w:trPr>
          <w:trHeight w:val="211"/>
        </w:trPr>
        <w:tc>
          <w:tcPr>
            <w:tcW w:w="6820" w:type="dxa"/>
            <w:vAlign w:val="bottom"/>
          </w:tcPr>
          <w:p>
            <w:pPr>
              <w:ind w:left="20"/>
              <w:spacing w:after="0"/>
              <w:rPr>
                <w:sz w:val="20"/>
                <w:szCs w:val="20"/>
                <w:color w:val="auto"/>
              </w:rPr>
            </w:pPr>
            <w:r>
              <w:rPr>
                <w:rFonts w:ascii="Arial" w:cs="Arial" w:eastAsia="Arial" w:hAnsi="Arial"/>
                <w:sz w:val="17"/>
                <w:szCs w:val="17"/>
                <w:color w:val="auto"/>
              </w:rPr>
              <w:t>Net loss from continuing operations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(7,106)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(8,301)</w:t>
            </w:r>
          </w:p>
        </w:tc>
      </w:tr>
      <w:tr>
        <w:trPr>
          <w:trHeight w:val="245"/>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(4,785)</w:t>
            </w: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color w:val="auto"/>
              </w:rPr>
              <w:t>Net loss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(12,850)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(13,086)</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6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8"/>
        </w:trPr>
        <w:tc>
          <w:tcPr>
            <w:tcW w:w="6820" w:type="dxa"/>
            <w:vAlign w:val="bottom"/>
          </w:tcPr>
          <w:p>
            <w:pPr>
              <w:ind w:left="20"/>
              <w:spacing w:after="0"/>
              <w:rPr>
                <w:sz w:val="20"/>
                <w:szCs w:val="20"/>
                <w:color w:val="auto"/>
              </w:rPr>
            </w:pPr>
            <w:r>
              <w:rPr>
                <w:rFonts w:ascii="Arial" w:cs="Arial" w:eastAsia="Arial" w:hAnsi="Arial"/>
                <w:sz w:val="17"/>
                <w:szCs w:val="17"/>
                <w:color w:val="auto"/>
              </w:rPr>
              <w:t>Basic and diluted net loss per share:</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2"/>
        </w:trPr>
        <w:tc>
          <w:tcPr>
            <w:tcW w:w="6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from continuing operations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r>
      <w:tr>
        <w:trPr>
          <w:trHeight w:val="244"/>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Loss from discontinued operations</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(0.16)</w:t>
            </w:r>
          </w:p>
        </w:tc>
      </w:tr>
      <w:tr>
        <w:trPr>
          <w:trHeight w:val="23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basic and diluted net loss per share</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5"/>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4"/>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unrealized gain (losses) on interest rate swaps (net of tax effect)</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r>
      <w:tr>
        <w:trPr>
          <w:trHeight w:val="225"/>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color w:val="auto"/>
              </w:rPr>
              <w:t>Total comprehensive loss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(12,746)</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(12,982)</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9" w:name="page100"/>
    <w:bookmarkEnd w:id="99"/>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effects of this error on our previously reported fiscal year 2022 interim consolidated statements of comprehensive (loss) income for the nine-month period ended February 27, 2022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i w:val="1"/>
                <w:iCs w:val="1"/>
                <w:color w:val="auto"/>
                <w:w w:val="90"/>
              </w:rPr>
              <w:t>As reported</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i w:val="1"/>
                <w:iCs w:val="1"/>
                <w:color w:val="auto"/>
                <w:w w:val="97"/>
              </w:rPr>
              <w:t>As restated</w:t>
            </w: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 except per share amounts)</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0"/>
              </w:rPr>
              <w:t>February 27, 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Adjustment</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4"/>
              </w:rPr>
              <w:t>February 27, 2022</w:t>
            </w: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sales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138,158</w:t>
            </w:r>
          </w:p>
        </w:tc>
      </w:tr>
      <w:tr>
        <w:trPr>
          <w:trHeight w:val="21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product sales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99,900</w:t>
            </w: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38,258</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Operating costs and expenses: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6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5,785</w:t>
            </w: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Selling, general and administrative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27,207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6,906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34,113</w:t>
            </w:r>
          </w:p>
        </w:tc>
      </w:tr>
      <w:tr>
        <w:trPr>
          <w:trHeight w:val="220"/>
        </w:trPr>
        <w:tc>
          <w:tcPr>
            <w:tcW w:w="6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Restructuring costs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7,530</w:t>
            </w:r>
          </w:p>
        </w:tc>
      </w:tr>
      <w:tr>
        <w:trPr>
          <w:trHeight w:val="224"/>
        </w:trPr>
        <w:tc>
          <w:tcPr>
            <w:tcW w:w="6820" w:type="dxa"/>
            <w:vAlign w:val="bottom"/>
          </w:tcPr>
          <w:p>
            <w:pPr>
              <w:ind w:left="20"/>
              <w:spacing w:after="0"/>
              <w:rPr>
                <w:sz w:val="20"/>
                <w:szCs w:val="20"/>
                <w:color w:val="auto"/>
              </w:rPr>
            </w:pPr>
            <w:r>
              <w:rPr>
                <w:rFonts w:ascii="Arial" w:cs="Arial" w:eastAsia="Arial" w:hAnsi="Arial"/>
                <w:sz w:val="17"/>
                <w:szCs w:val="17"/>
                <w:color w:val="auto"/>
              </w:rPr>
              <w:t>Total operating costs and expenses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41,398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47,428</w:t>
            </w:r>
          </w:p>
        </w:tc>
      </w:tr>
      <w:tr>
        <w:trPr>
          <w:trHeight w:val="246"/>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(9,170)</w:t>
            </w:r>
          </w:p>
        </w:tc>
      </w:tr>
      <w:tr>
        <w:trPr>
          <w:trHeight w:val="244"/>
        </w:trPr>
        <w:tc>
          <w:tcPr>
            <w:tcW w:w="68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(13,877)</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Transition services income</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5,473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5,473</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r>
      <w:tr>
        <w:trPr>
          <w:trHeight w:val="211"/>
        </w:trPr>
        <w:tc>
          <w:tcPr>
            <w:tcW w:w="6820" w:type="dxa"/>
            <w:vAlign w:val="bottom"/>
          </w:tcPr>
          <w:p>
            <w:pPr>
              <w:ind w:left="20"/>
              <w:spacing w:after="0"/>
              <w:rPr>
                <w:sz w:val="20"/>
                <w:szCs w:val="20"/>
                <w:color w:val="auto"/>
              </w:rPr>
            </w:pPr>
            <w:r>
              <w:rPr>
                <w:rFonts w:ascii="Arial" w:cs="Arial" w:eastAsia="Arial" w:hAnsi="Arial"/>
                <w:sz w:val="17"/>
                <w:szCs w:val="17"/>
                <w:color w:val="auto"/>
              </w:rPr>
              <w:t>Net loss from continuing operations before taxes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(15,522)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(16,866)</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5,026</w:t>
            </w:r>
          </w:p>
        </w:tc>
      </w:tr>
      <w:tr>
        <w:trPr>
          <w:trHeight w:val="211"/>
        </w:trPr>
        <w:tc>
          <w:tcPr>
            <w:tcW w:w="6820" w:type="dxa"/>
            <w:vAlign w:val="bottom"/>
          </w:tcPr>
          <w:p>
            <w:pPr>
              <w:ind w:left="20"/>
              <w:spacing w:after="0"/>
              <w:rPr>
                <w:sz w:val="20"/>
                <w:szCs w:val="20"/>
                <w:color w:val="auto"/>
              </w:rPr>
            </w:pPr>
            <w:r>
              <w:rPr>
                <w:rFonts w:ascii="Arial" w:cs="Arial" w:eastAsia="Arial" w:hAnsi="Arial"/>
                <w:sz w:val="17"/>
                <w:szCs w:val="17"/>
                <w:color w:val="auto"/>
              </w:rPr>
              <w:t>Net loss from continuing operations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(10,510)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(11,840)</w:t>
            </w:r>
          </w:p>
        </w:tc>
      </w:tr>
      <w:tr>
        <w:trPr>
          <w:trHeight w:val="245"/>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(50,258)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(49,276)</w:t>
            </w: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color w:val="auto"/>
              </w:rPr>
              <w:t>Net loss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(60,768)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(61,116)</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6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8"/>
        </w:trPr>
        <w:tc>
          <w:tcPr>
            <w:tcW w:w="6820" w:type="dxa"/>
            <w:vAlign w:val="bottom"/>
          </w:tcPr>
          <w:p>
            <w:pPr>
              <w:ind w:left="20"/>
              <w:spacing w:after="0"/>
              <w:rPr>
                <w:sz w:val="20"/>
                <w:szCs w:val="20"/>
                <w:color w:val="auto"/>
              </w:rPr>
            </w:pPr>
            <w:r>
              <w:rPr>
                <w:rFonts w:ascii="Arial" w:cs="Arial" w:eastAsia="Arial" w:hAnsi="Arial"/>
                <w:sz w:val="17"/>
                <w:szCs w:val="17"/>
                <w:color w:val="auto"/>
              </w:rPr>
              <w:t>Basic and diluted net loss per share:</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2"/>
        </w:trPr>
        <w:tc>
          <w:tcPr>
            <w:tcW w:w="6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from continuing operations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r>
      <w:tr>
        <w:trPr>
          <w:trHeight w:val="244"/>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Loss from discontinued operations</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w:t>
            </w:r>
          </w:p>
        </w:tc>
      </w:tr>
      <w:tr>
        <w:trPr>
          <w:trHeight w:val="23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basic and diluted net loss per share</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5"/>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4"/>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unrealized gain (losses) on interest rate swaps (net of tax effect)</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w:t>
            </w:r>
          </w:p>
        </w:tc>
      </w:tr>
      <w:tr>
        <w:trPr>
          <w:trHeight w:val="225"/>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color w:val="auto"/>
              </w:rPr>
              <w:t>Total comprehensive loss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(60,122)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(60,470)</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0" w:name="page101"/>
    <w:bookmarkEnd w:id="100"/>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100" w:firstLine="619"/>
        <w:spacing w:after="0" w:line="264" w:lineRule="auto"/>
        <w:rPr>
          <w:sz w:val="20"/>
          <w:szCs w:val="20"/>
          <w:color w:val="auto"/>
        </w:rPr>
      </w:pPr>
      <w:r>
        <w:rPr>
          <w:rFonts w:ascii="Arial" w:cs="Arial" w:eastAsia="Arial" w:hAnsi="Arial"/>
          <w:sz w:val="17"/>
          <w:szCs w:val="17"/>
          <w:color w:val="auto"/>
        </w:rPr>
        <w:t>The effects of this error on our previously reported fiscal year 2022 consolidated statements of changes in stockholders' equity for the nine-month period ended February 27, 2022 are as follows:</w:t>
      </w:r>
    </w:p>
    <w:p>
      <w:pPr>
        <w:spacing w:after="0" w:line="240" w:lineRule="exact"/>
        <w:rPr>
          <w:sz w:val="20"/>
          <w:szCs w:val="20"/>
          <w:color w:val="auto"/>
        </w:rPr>
      </w:pPr>
    </w:p>
    <w:tbl>
      <w:tblPr>
        <w:tblLayout w:type="fixed"/>
        <w:tblInd w:w="620" w:type="dxa"/>
        <w:tblCellMar>
          <w:top w:w="0" w:type="dxa"/>
          <w:left w:w="0" w:type="dxa"/>
          <w:bottom w:w="0" w:type="dxa"/>
          <w:right w:w="0" w:type="dxa"/>
        </w:tblCellMar>
      </w:tblPr>
      <w:tr>
        <w:trPr>
          <w:trHeight w:val="218"/>
        </w:trPr>
        <w:tc>
          <w:tcPr>
            <w:tcW w:w="3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i w:val="1"/>
                <w:iCs w:val="1"/>
                <w:color w:val="auto"/>
                <w:w w:val="90"/>
              </w:rPr>
              <w:t>As reported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i w:val="1"/>
                <w:iCs w:val="1"/>
                <w:color w:val="auto"/>
                <w:w w:val="90"/>
              </w:rPr>
              <w:t>As reported</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i w:val="1"/>
                <w:iCs w:val="1"/>
                <w:color w:val="auto"/>
                <w:w w:val="98"/>
              </w:rPr>
              <w:t>Adjustment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i w:val="1"/>
                <w:iCs w:val="1"/>
                <w:color w:val="auto"/>
                <w:w w:val="88"/>
              </w:rPr>
              <w:t>As restated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88"/>
              </w:rPr>
              <w:t>As restated</w:t>
            </w:r>
          </w:p>
        </w:tc>
        <w:tc>
          <w:tcPr>
            <w:tcW w:w="0" w:type="dxa"/>
            <w:vAlign w:val="bottom"/>
          </w:tcPr>
          <w:p>
            <w:pPr>
              <w:spacing w:after="0"/>
              <w:rPr>
                <w:sz w:val="1"/>
                <w:szCs w:val="1"/>
                <w:color w:val="auto"/>
              </w:rPr>
            </w:pPr>
          </w:p>
        </w:tc>
      </w:tr>
      <w:tr>
        <w:trPr>
          <w:trHeight w:val="278"/>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Retained</w:t>
            </w:r>
          </w:p>
        </w:tc>
        <w:tc>
          <w:tcPr>
            <w:tcW w:w="160" w:type="dxa"/>
            <w:vAlign w:val="bottom"/>
          </w:tcPr>
          <w:p>
            <w:pPr>
              <w:spacing w:after="0"/>
              <w:rPr>
                <w:sz w:val="24"/>
                <w:szCs w:val="2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89"/>
              </w:rPr>
              <w:t>Total</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Retained</w:t>
            </w:r>
          </w:p>
        </w:tc>
        <w:tc>
          <w:tcPr>
            <w:tcW w:w="16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9"/>
              </w:rPr>
              <w:t>Total</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00"/>
              <w:spacing w:after="0" w:line="167" w:lineRule="exact"/>
              <w:rPr>
                <w:sz w:val="20"/>
                <w:szCs w:val="20"/>
                <w:color w:val="auto"/>
              </w:rPr>
            </w:pPr>
            <w:r>
              <w:rPr>
                <w:rFonts w:ascii="Arial" w:cs="Arial" w:eastAsia="Arial" w:hAnsi="Arial"/>
                <w:sz w:val="17"/>
                <w:szCs w:val="17"/>
                <w:color w:val="auto"/>
                <w:w w:val="92"/>
              </w:rPr>
              <w:t>Earnings</w:t>
            </w: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7" w:lineRule="exact"/>
              <w:rPr>
                <w:sz w:val="20"/>
                <w:szCs w:val="20"/>
                <w:color w:val="auto"/>
              </w:rPr>
            </w:pPr>
            <w:r>
              <w:rPr>
                <w:rFonts w:ascii="Arial" w:cs="Arial" w:eastAsia="Arial" w:hAnsi="Arial"/>
                <w:sz w:val="17"/>
                <w:szCs w:val="17"/>
                <w:color w:val="auto"/>
                <w:w w:val="89"/>
              </w:rPr>
              <w:t>Earnings</w:t>
            </w: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line="167" w:lineRule="exact"/>
              <w:rPr>
                <w:sz w:val="20"/>
                <w:szCs w:val="20"/>
                <w:color w:val="auto"/>
              </w:rPr>
            </w:pPr>
            <w:r>
              <w:rPr>
                <w:rFonts w:ascii="Arial" w:cs="Arial" w:eastAsia="Arial" w:hAnsi="Arial"/>
                <w:sz w:val="17"/>
                <w:szCs w:val="17"/>
                <w:color w:val="auto"/>
                <w:w w:val="94"/>
              </w:rPr>
              <w:t>(Accumulated</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7" w:lineRule="exact"/>
              <w:rPr>
                <w:sz w:val="20"/>
                <w:szCs w:val="20"/>
                <w:color w:val="auto"/>
              </w:rPr>
            </w:pPr>
            <w:r>
              <w:rPr>
                <w:rFonts w:ascii="Arial" w:cs="Arial" w:eastAsia="Arial" w:hAnsi="Arial"/>
                <w:sz w:val="17"/>
                <w:szCs w:val="17"/>
                <w:color w:val="auto"/>
                <w:w w:val="92"/>
              </w:rPr>
              <w:t>Stockholders’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7" w:lineRule="exact"/>
              <w:rPr>
                <w:sz w:val="20"/>
                <w:szCs w:val="20"/>
                <w:color w:val="auto"/>
              </w:rPr>
            </w:pPr>
            <w:r>
              <w:rPr>
                <w:rFonts w:ascii="Arial" w:cs="Arial" w:eastAsia="Arial" w:hAnsi="Arial"/>
                <w:sz w:val="17"/>
                <w:szCs w:val="17"/>
                <w:color w:val="auto"/>
                <w:w w:val="92"/>
              </w:rPr>
              <w:t>(Accumulated</w:t>
            </w:r>
          </w:p>
        </w:tc>
        <w:tc>
          <w:tcPr>
            <w:tcW w:w="160" w:type="dxa"/>
            <w:vAlign w:val="bottom"/>
          </w:tcPr>
          <w:p>
            <w:pPr>
              <w:spacing w:after="0"/>
              <w:rPr>
                <w:sz w:val="14"/>
                <w:szCs w:val="14"/>
                <w:color w:val="auto"/>
              </w:rPr>
            </w:pPr>
          </w:p>
        </w:tc>
        <w:tc>
          <w:tcPr>
            <w:tcW w:w="1100" w:type="dxa"/>
            <w:vAlign w:val="bottom"/>
          </w:tcPr>
          <w:p>
            <w:pPr>
              <w:jc w:val="center"/>
              <w:spacing w:after="0" w:line="167" w:lineRule="exact"/>
              <w:rPr>
                <w:sz w:val="20"/>
                <w:szCs w:val="20"/>
                <w:color w:val="auto"/>
              </w:rPr>
            </w:pPr>
            <w:r>
              <w:rPr>
                <w:rFonts w:ascii="Arial" w:cs="Arial" w:eastAsia="Arial" w:hAnsi="Arial"/>
                <w:sz w:val="17"/>
                <w:szCs w:val="17"/>
                <w:color w:val="auto"/>
                <w:w w:val="92"/>
              </w:rPr>
              <w:t>Stockholders’</w:t>
            </w:r>
          </w:p>
        </w:tc>
        <w:tc>
          <w:tcPr>
            <w:tcW w:w="0" w:type="dxa"/>
            <w:vAlign w:val="bottom"/>
          </w:tcPr>
          <w:p>
            <w:pPr>
              <w:spacing w:after="0"/>
              <w:rPr>
                <w:sz w:val="1"/>
                <w:szCs w:val="1"/>
                <w:color w:val="auto"/>
              </w:rPr>
            </w:pPr>
          </w:p>
        </w:tc>
      </w:tr>
      <w:tr>
        <w:trPr>
          <w:trHeight w:val="218"/>
        </w:trPr>
        <w:tc>
          <w:tcPr>
            <w:tcW w:w="37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rPr>
              <w:t>Deficit)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7"/>
              </w:rPr>
              <w:t>Equity</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color w:val="auto"/>
                <w:w w:val="98"/>
              </w:rPr>
              <w:t>Deficit)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Equity</w:t>
            </w:r>
          </w:p>
        </w:tc>
        <w:tc>
          <w:tcPr>
            <w:tcW w:w="0" w:type="dxa"/>
            <w:vAlign w:val="bottom"/>
          </w:tcPr>
          <w:p>
            <w:pPr>
              <w:spacing w:after="0"/>
              <w:rPr>
                <w:sz w:val="1"/>
                <w:szCs w:val="1"/>
                <w:color w:val="auto"/>
              </w:rPr>
            </w:pPr>
          </w:p>
        </w:tc>
      </w:tr>
      <w:tr>
        <w:trPr>
          <w:trHeight w:val="213"/>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May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202,784</w:t>
            </w:r>
          </w:p>
        </w:tc>
        <w:tc>
          <w:tcPr>
            <w:tcW w:w="0" w:type="dxa"/>
            <w:vAlign w:val="bottom"/>
          </w:tcPr>
          <w:p>
            <w:pPr>
              <w:spacing w:after="0"/>
              <w:rPr>
                <w:sz w:val="1"/>
                <w:szCs w:val="1"/>
                <w:color w:val="auto"/>
              </w:rPr>
            </w:pPr>
          </w:p>
        </w:tc>
      </w:tr>
      <w:tr>
        <w:trPr>
          <w:trHeight w:val="211"/>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(9,477)</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(9,477)</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(9,509)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(9,509</w:t>
            </w:r>
          </w:p>
        </w:tc>
        <w:tc>
          <w:tcPr>
            <w:tcW w:w="0" w:type="dxa"/>
            <w:vAlign w:val="bottom"/>
          </w:tcPr>
          <w:p>
            <w:pPr>
              <w:spacing w:after="0"/>
              <w:rPr>
                <w:sz w:val="1"/>
                <w:szCs w:val="1"/>
                <w:color w:val="auto"/>
              </w:rPr>
            </w:pPr>
          </w:p>
        </w:tc>
      </w:tr>
      <w:tr>
        <w:trPr>
          <w:trHeight w:val="213"/>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August 29, 2021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193,833</w:t>
            </w:r>
          </w:p>
        </w:tc>
        <w:tc>
          <w:tcPr>
            <w:tcW w:w="0" w:type="dxa"/>
            <w:vAlign w:val="bottom"/>
          </w:tcPr>
          <w:p>
            <w:pPr>
              <w:spacing w:after="0"/>
              <w:rPr>
                <w:sz w:val="1"/>
                <w:szCs w:val="1"/>
                <w:color w:val="auto"/>
              </w:rPr>
            </w:pPr>
          </w:p>
        </w:tc>
      </w:tr>
      <w:tr>
        <w:trPr>
          <w:trHeight w:val="218"/>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(38,521</w:t>
            </w:r>
          </w:p>
        </w:tc>
        <w:tc>
          <w:tcPr>
            <w:tcW w:w="0" w:type="dxa"/>
            <w:vAlign w:val="bottom"/>
          </w:tcPr>
          <w:p>
            <w:pPr>
              <w:spacing w:after="0"/>
              <w:rPr>
                <w:sz w:val="1"/>
                <w:szCs w:val="1"/>
                <w:color w:val="auto"/>
              </w:rPr>
            </w:pPr>
          </w:p>
        </w:tc>
      </w:tr>
      <w:tr>
        <w:trPr>
          <w:trHeight w:val="213"/>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November 28, 2021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156,202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156,090</w:t>
            </w:r>
          </w:p>
        </w:tc>
        <w:tc>
          <w:tcPr>
            <w:tcW w:w="0" w:type="dxa"/>
            <w:vAlign w:val="bottom"/>
          </w:tcPr>
          <w:p>
            <w:pPr>
              <w:spacing w:after="0"/>
              <w:rPr>
                <w:sz w:val="1"/>
                <w:szCs w:val="1"/>
                <w:color w:val="auto"/>
              </w:rPr>
            </w:pPr>
          </w:p>
        </w:tc>
      </w:tr>
      <w:tr>
        <w:trPr>
          <w:trHeight w:val="218"/>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(13,086</w:t>
            </w:r>
          </w:p>
        </w:tc>
        <w:tc>
          <w:tcPr>
            <w:tcW w:w="0" w:type="dxa"/>
            <w:vAlign w:val="bottom"/>
          </w:tcPr>
          <w:p>
            <w:pPr>
              <w:spacing w:after="0"/>
              <w:rPr>
                <w:sz w:val="1"/>
                <w:szCs w:val="1"/>
                <w:color w:val="auto"/>
              </w:rPr>
            </w:pPr>
          </w:p>
        </w:tc>
      </w:tr>
      <w:tr>
        <w:trPr>
          <w:trHeight w:val="238"/>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February 27,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144,072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143,724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295" w:right="239" w:bottom="1440" w:gutter="0" w:footer="0" w:header="0"/>
        </w:sectPr>
      </w:pPr>
    </w:p>
    <w:bookmarkStart w:id="101" w:name="page102"/>
    <w:bookmarkEnd w:id="101"/>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effects of this error on our previously reported fiscal year 2022 consolidated statements of cash flows for the nine-month period ended February 27, 2022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i w:val="1"/>
                <w:iCs w:val="1"/>
                <w:color w:val="auto"/>
                <w:w w:val="90"/>
              </w:rPr>
              <w:t>As reported</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i w:val="1"/>
                <w:iCs w:val="1"/>
                <w:color w:val="auto"/>
                <w:w w:val="97"/>
              </w:rPr>
              <w:t>As restated</w:t>
            </w: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520" w:type="dxa"/>
            <w:vAlign w:val="bottom"/>
            <w:gridSpan w:val="3"/>
          </w:tcPr>
          <w:p>
            <w:pPr>
              <w:jc w:val="center"/>
              <w:ind w:right="100"/>
              <w:spacing w:after="0"/>
              <w:rPr>
                <w:sz w:val="20"/>
                <w:szCs w:val="20"/>
                <w:color w:val="auto"/>
              </w:rPr>
            </w:pPr>
            <w:r>
              <w:rPr>
                <w:rFonts w:ascii="Arial" w:cs="Arial" w:eastAsia="Arial" w:hAnsi="Arial"/>
                <w:sz w:val="17"/>
                <w:szCs w:val="17"/>
                <w:color w:val="auto"/>
                <w:w w:val="90"/>
              </w:rPr>
              <w:t>February 27, 2022</w:t>
            </w: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color w:val="auto"/>
              </w:rPr>
              <w:t>Adjustment</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w w:val="94"/>
              </w:rPr>
              <w:t>February 27, 2022</w:t>
            </w:r>
          </w:p>
        </w:tc>
      </w:tr>
      <w:tr>
        <w:trPr>
          <w:trHeight w:val="20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Net loss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(60,768)</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(61,116)</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provided by operating activities: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Impairment of goodwill</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32,057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32,057</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amortization of intangibles, debt costs and right-of-use assets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14,488</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Loss on disposal of property and equipment related to restructuring, net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5,185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5,185</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(5,471)</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Loss on sale of Eat Smart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1,928</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Net loss on disposal of property and equipment held and used</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(benefit) for expected credit losses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Other, net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(551)</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current assets and current 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(7,525)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(7,525)</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(11,910)</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(1,448)</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13,507</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Accrued compensation</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(2,027)</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1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revenue</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w:t>
            </w:r>
          </w:p>
        </w:tc>
      </w:tr>
      <w:tr>
        <w:trPr>
          <w:trHeight w:val="225"/>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(22,045)</w:t>
            </w:r>
          </w:p>
        </w:tc>
      </w:tr>
      <w:tr>
        <w:trPr>
          <w:trHeight w:val="135"/>
        </w:trPr>
        <w:tc>
          <w:tcPr>
            <w:tcW w:w="6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Proceeds from sale of Eat Smart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73,500</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Investment in non-public company</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45,100</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Purchases of property and equipment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(18,539)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(18,539)</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sales of property and equipment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Eat Smart sale net working capital adjustment and cash sale expenses</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(2,390)</w:t>
            </w:r>
          </w:p>
        </w:tc>
      </w:tr>
      <w:tr>
        <w:trPr>
          <w:trHeight w:val="212"/>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101,157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98,767</w:t>
            </w:r>
          </w:p>
        </w:tc>
      </w:tr>
      <w:tr>
        <w:trPr>
          <w:trHeight w:val="239"/>
        </w:trPr>
        <w:tc>
          <w:tcPr>
            <w:tcW w:w="68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11"/>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(76,163)</w:t>
            </w:r>
          </w:p>
        </w:tc>
      </w:tr>
      <w:tr>
        <w:trPr>
          <w:trHeight w:val="239"/>
        </w:trPr>
        <w:tc>
          <w:tcPr>
            <w:tcW w:w="68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r>
      <w:tr>
        <w:trPr>
          <w:trHeight w:val="21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1,295</w:t>
            </w:r>
          </w:p>
        </w:tc>
      </w:tr>
      <w:tr>
        <w:trPr>
          <w:trHeight w:val="23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2" w:name="page103"/>
    <w:bookmarkEnd w:id="102"/>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firstLine="619"/>
        <w:spacing w:after="0" w:line="264" w:lineRule="auto"/>
        <w:rPr>
          <w:sz w:val="20"/>
          <w:szCs w:val="20"/>
          <w:color w:val="auto"/>
        </w:rPr>
      </w:pPr>
      <w:r>
        <w:rPr>
          <w:rFonts w:ascii="Arial" w:cs="Arial" w:eastAsia="Arial" w:hAnsi="Arial"/>
          <w:sz w:val="17"/>
          <w:szCs w:val="17"/>
          <w:color w:val="auto"/>
        </w:rPr>
        <w:t>The effects of this error on our previously reported fiscal year 2022 diluted earnings per share for the three- and nine-month periods ended February 27, 2022 as presented in the Company’s fiscal year 2022 third quarter Form 10-Q Note 4 - Diluted Earnings per share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ind w:left="854"/>
              <w:spacing w:after="0"/>
              <w:rPr>
                <w:sz w:val="20"/>
                <w:szCs w:val="20"/>
                <w:color w:val="auto"/>
              </w:rPr>
            </w:pPr>
            <w:r>
              <w:rPr>
                <w:rFonts w:ascii="Arial" w:cs="Arial" w:eastAsia="Arial" w:hAnsi="Arial"/>
                <w:sz w:val="17"/>
                <w:szCs w:val="17"/>
                <w:color w:val="auto"/>
                <w:w w:val="91"/>
              </w:rPr>
              <w:t>Three Months Ended</w:t>
            </w: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color w:val="auto"/>
                <w:w w:val="92"/>
              </w:rPr>
              <w:t>Nine Months Ended</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2"/>
        </w:trPr>
        <w:tc>
          <w:tcPr>
            <w:tcW w:w="3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i w:val="1"/>
                <w:iCs w:val="1"/>
                <w:color w:val="auto"/>
                <w:w w:val="90"/>
              </w:rPr>
              <w:t>As reported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i w:val="1"/>
                <w:iCs w:val="1"/>
                <w:color w:val="auto"/>
                <w:w w:val="88"/>
              </w:rPr>
              <w:t>As restated</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i w:val="1"/>
                <w:iCs w:val="1"/>
                <w:color w:val="auto"/>
                <w:w w:val="90"/>
              </w:rPr>
              <w:t>As reported</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i w:val="1"/>
                <w:iCs w:val="1"/>
                <w:color w:val="auto"/>
                <w:w w:val="88"/>
              </w:rPr>
              <w:t>As restated</w:t>
            </w:r>
          </w:p>
        </w:tc>
      </w:tr>
      <w:tr>
        <w:trPr>
          <w:trHeight w:val="175"/>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line="175" w:lineRule="exact"/>
              <w:rPr>
                <w:sz w:val="20"/>
                <w:szCs w:val="20"/>
                <w:color w:val="auto"/>
              </w:rPr>
            </w:pPr>
            <w:r>
              <w:rPr>
                <w:rFonts w:ascii="Arial" w:cs="Arial" w:eastAsia="Arial" w:hAnsi="Arial"/>
                <w:sz w:val="17"/>
                <w:szCs w:val="17"/>
                <w:color w:val="auto"/>
                <w:w w:val="91"/>
              </w:rPr>
              <w:t>February 27,</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line="175" w:lineRule="exact"/>
              <w:rPr>
                <w:sz w:val="20"/>
                <w:szCs w:val="20"/>
                <w:color w:val="auto"/>
              </w:rPr>
            </w:pPr>
            <w:r>
              <w:rPr>
                <w:rFonts w:ascii="Arial" w:cs="Arial" w:eastAsia="Arial" w:hAnsi="Arial"/>
                <w:sz w:val="17"/>
                <w:szCs w:val="17"/>
                <w:color w:val="auto"/>
                <w:w w:val="91"/>
              </w:rPr>
              <w:t>February 27,</w:t>
            </w:r>
          </w:p>
        </w:tc>
        <w:tc>
          <w:tcPr>
            <w:tcW w:w="140" w:type="dxa"/>
            <w:vAlign w:val="bottom"/>
          </w:tcPr>
          <w:p>
            <w:pPr>
              <w:spacing w:after="0"/>
              <w:rPr>
                <w:sz w:val="15"/>
                <w:szCs w:val="15"/>
                <w:color w:val="auto"/>
              </w:rPr>
            </w:pPr>
          </w:p>
        </w:tc>
        <w:tc>
          <w:tcPr>
            <w:tcW w:w="1020" w:type="dxa"/>
            <w:vAlign w:val="bottom"/>
          </w:tcPr>
          <w:p>
            <w:pPr>
              <w:jc w:val="center"/>
              <w:ind w:right="14"/>
              <w:spacing w:after="0" w:line="175" w:lineRule="exact"/>
              <w:rPr>
                <w:sz w:val="20"/>
                <w:szCs w:val="20"/>
                <w:color w:val="auto"/>
              </w:rPr>
            </w:pPr>
            <w:r>
              <w:rPr>
                <w:rFonts w:ascii="Arial" w:cs="Arial" w:eastAsia="Arial" w:hAnsi="Arial"/>
                <w:sz w:val="17"/>
                <w:szCs w:val="17"/>
                <w:color w:val="auto"/>
                <w:w w:val="91"/>
              </w:rPr>
              <w:t>February 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34"/>
              <w:spacing w:after="0" w:line="175" w:lineRule="exact"/>
              <w:rPr>
                <w:sz w:val="20"/>
                <w:szCs w:val="20"/>
                <w:color w:val="auto"/>
              </w:rPr>
            </w:pPr>
            <w:r>
              <w:rPr>
                <w:rFonts w:ascii="Arial" w:cs="Arial" w:eastAsia="Arial" w:hAnsi="Arial"/>
                <w:sz w:val="17"/>
                <w:szCs w:val="17"/>
                <w:color w:val="auto"/>
                <w:w w:val="91"/>
              </w:rPr>
              <w:t>February 27,</w:t>
            </w:r>
          </w:p>
        </w:tc>
      </w:tr>
      <w:tr>
        <w:trPr>
          <w:trHeight w:val="218"/>
        </w:trPr>
        <w:tc>
          <w:tcPr>
            <w:tcW w:w="376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per share amounts)</w:t>
            </w:r>
          </w:p>
        </w:tc>
        <w:tc>
          <w:tcPr>
            <w:tcW w:w="120" w:type="dxa"/>
            <w:vAlign w:val="bottom"/>
          </w:tcPr>
          <w:p>
            <w:pPr>
              <w:spacing w:after="0"/>
              <w:rPr>
                <w:sz w:val="18"/>
                <w:szCs w:val="18"/>
                <w:color w:val="auto"/>
              </w:rPr>
            </w:pPr>
          </w:p>
        </w:tc>
        <w:tc>
          <w:tcPr>
            <w:tcW w:w="1040" w:type="dxa"/>
            <w:vAlign w:val="bottom"/>
          </w:tcPr>
          <w:p>
            <w:pPr>
              <w:jc w:val="center"/>
              <w:ind w:right="14"/>
              <w:spacing w:after="0"/>
              <w:rPr>
                <w:sz w:val="20"/>
                <w:szCs w:val="20"/>
                <w:color w:val="auto"/>
              </w:rPr>
            </w:pPr>
            <w:r>
              <w:rPr>
                <w:rFonts w:ascii="Arial" w:cs="Arial" w:eastAsia="Arial" w:hAnsi="Arial"/>
                <w:sz w:val="17"/>
                <w:szCs w:val="17"/>
                <w:color w:val="auto"/>
                <w:w w:val="89"/>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color w:val="auto"/>
                <w:w w:val="94"/>
              </w:rPr>
              <w:t>Adjustment</w:t>
            </w:r>
          </w:p>
        </w:tc>
        <w:tc>
          <w:tcPr>
            <w:tcW w:w="120" w:type="dxa"/>
            <w:vAlign w:val="bottom"/>
          </w:tcPr>
          <w:p>
            <w:pPr>
              <w:spacing w:after="0"/>
              <w:rPr>
                <w:sz w:val="18"/>
                <w:szCs w:val="18"/>
                <w:color w:val="auto"/>
              </w:rPr>
            </w:pPr>
          </w:p>
        </w:tc>
        <w:tc>
          <w:tcPr>
            <w:tcW w:w="1060" w:type="dxa"/>
            <w:vAlign w:val="bottom"/>
          </w:tcPr>
          <w:p>
            <w:pPr>
              <w:jc w:val="center"/>
              <w:ind w:right="34"/>
              <w:spacing w:after="0"/>
              <w:rPr>
                <w:sz w:val="20"/>
                <w:szCs w:val="20"/>
                <w:color w:val="auto"/>
              </w:rPr>
            </w:pPr>
            <w:r>
              <w:rPr>
                <w:rFonts w:ascii="Arial" w:cs="Arial" w:eastAsia="Arial" w:hAnsi="Arial"/>
                <w:sz w:val="17"/>
                <w:szCs w:val="17"/>
                <w:color w:val="auto"/>
                <w:w w:val="89"/>
              </w:rPr>
              <w:t>2022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34"/>
              <w:spacing w:after="0"/>
              <w:rPr>
                <w:sz w:val="20"/>
                <w:szCs w:val="20"/>
                <w:color w:val="auto"/>
              </w:rPr>
            </w:pPr>
            <w:r>
              <w:rPr>
                <w:rFonts w:ascii="Arial" w:cs="Arial" w:eastAsia="Arial" w:hAnsi="Arial"/>
                <w:sz w:val="17"/>
                <w:szCs w:val="17"/>
                <w:color w:val="auto"/>
                <w:w w:val="89"/>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color w:val="auto"/>
                <w:w w:val="94"/>
              </w:rPr>
              <w:t>Adjustment</w:t>
            </w:r>
          </w:p>
        </w:tc>
        <w:tc>
          <w:tcPr>
            <w:tcW w:w="12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Arial" w:cs="Arial" w:eastAsia="Arial" w:hAnsi="Arial"/>
                <w:sz w:val="17"/>
                <w:szCs w:val="17"/>
                <w:color w:val="auto"/>
                <w:w w:val="95"/>
              </w:rPr>
              <w:t>2022</w:t>
            </w:r>
          </w:p>
        </w:tc>
      </w:tr>
      <w:tr>
        <w:trPr>
          <w:trHeight w:val="200"/>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18"/>
        </w:trPr>
        <w:tc>
          <w:tcPr>
            <w:tcW w:w="3760" w:type="dxa"/>
            <w:vAlign w:val="bottom"/>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(12,850)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(236)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(13,086)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(60,768)</w:t>
            </w:r>
          </w:p>
        </w:tc>
        <w:tc>
          <w:tcPr>
            <w:tcW w:w="2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(61,116)</w:t>
            </w:r>
          </w:p>
        </w:tc>
      </w:tr>
      <w:tr>
        <w:trPr>
          <w:trHeight w:val="259"/>
        </w:trPr>
        <w:tc>
          <w:tcPr>
            <w:tcW w:w="3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8"/>
        </w:trPr>
        <w:tc>
          <w:tcPr>
            <w:tcW w:w="376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Weighted average shares for diluted net loss per share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29,459</w:t>
            </w:r>
          </w:p>
        </w:tc>
      </w:tr>
      <w:tr>
        <w:trPr>
          <w:trHeight w:val="258"/>
        </w:trPr>
        <w:tc>
          <w:tcPr>
            <w:tcW w:w="3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3" w:name="page104"/>
    <w:bookmarkEnd w:id="103"/>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firstLine="619"/>
        <w:spacing w:after="0" w:line="312" w:lineRule="auto"/>
        <w:rPr>
          <w:sz w:val="20"/>
          <w:szCs w:val="20"/>
          <w:color w:val="auto"/>
        </w:rPr>
      </w:pPr>
      <w:r>
        <w:rPr>
          <w:rFonts w:ascii="Arial" w:cs="Arial" w:eastAsia="Arial" w:hAnsi="Arial"/>
          <w:sz w:val="16"/>
          <w:szCs w:val="16"/>
          <w:color w:val="auto"/>
        </w:rPr>
        <w:t>The effects of this error on our previously reported fiscal year 2022 operations by business segment for the three- and nine-month periods ended February 27, 2022 as presented in the Company’s fiscal year 2022 third quarter Form 10-Q Note 7 - Business Segment Reporting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80" w:type="dxa"/>
            <w:vAlign w:val="bottom"/>
            <w:gridSpan w:val="4"/>
          </w:tcPr>
          <w:p>
            <w:pPr>
              <w:ind w:left="20"/>
              <w:spacing w:after="0"/>
              <w:rPr>
                <w:sz w:val="20"/>
                <w:szCs w:val="20"/>
                <w:color w:val="auto"/>
              </w:rPr>
            </w:pPr>
            <w:r>
              <w:rPr>
                <w:rFonts w:ascii="Arial" w:cs="Arial" w:eastAsia="Arial" w:hAnsi="Arial"/>
                <w:sz w:val="17"/>
                <w:szCs w:val="17"/>
                <w:i w:val="1"/>
                <w:iCs w:val="1"/>
                <w:color w:val="auto"/>
              </w:rPr>
              <w:t>(In Thousands)</w:t>
            </w: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7"/>
                <w:szCs w:val="17"/>
                <w:color w:val="auto"/>
              </w:rPr>
              <w:t>Lifecore</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auto"/>
              </w:rPr>
              <w:t>Curation Foods</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8"/>
                <w:szCs w:val="18"/>
                <w:color w:val="auto"/>
              </w:rPr>
            </w:pPr>
          </w:p>
        </w:tc>
        <w:tc>
          <w:tcPr>
            <w:tcW w:w="1000" w:type="dxa"/>
            <w:vAlign w:val="bottom"/>
          </w:tcPr>
          <w:p>
            <w:pPr>
              <w:jc w:val="right"/>
              <w:ind w:right="374"/>
              <w:spacing w:after="0"/>
              <w:rPr>
                <w:sz w:val="20"/>
                <w:szCs w:val="20"/>
                <w:color w:val="auto"/>
              </w:rPr>
            </w:pPr>
            <w:r>
              <w:rPr>
                <w:rFonts w:ascii="Arial" w:cs="Arial" w:eastAsia="Arial" w:hAnsi="Arial"/>
                <w:sz w:val="17"/>
                <w:szCs w:val="17"/>
                <w:color w:val="auto"/>
              </w:rPr>
              <w:t>Total</w:t>
            </w:r>
          </w:p>
        </w:tc>
      </w:t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760" w:type="dxa"/>
            <w:vAlign w:val="bottom"/>
            <w:tcBorders>
              <w:top w:val="single" w:sz="8" w:color="CCEEFF"/>
              <w:bottom w:val="single" w:sz="8" w:color="auto"/>
            </w:tcBorders>
            <w:gridSpan w:val="2"/>
            <w:shd w:val="clear" w:color="auto" w:fill="CCEEFF"/>
          </w:tcPr>
          <w:p>
            <w:pPr>
              <w:spacing w:after="0" w:line="162" w:lineRule="exact"/>
              <w:rPr>
                <w:sz w:val="20"/>
                <w:szCs w:val="20"/>
                <w:color w:val="auto"/>
              </w:rPr>
            </w:pPr>
            <w:r>
              <w:rPr>
                <w:rFonts w:ascii="Arial" w:cs="Arial" w:eastAsia="Arial" w:hAnsi="Arial"/>
                <w:sz w:val="17"/>
                <w:szCs w:val="17"/>
                <w:color w:val="auto"/>
                <w:w w:val="90"/>
              </w:rPr>
              <w:t>Three Months Ended February 27, 2022</w:t>
            </w:r>
          </w:p>
        </w:tc>
        <w:tc>
          <w:tcPr>
            <w:tcW w:w="30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8"/>
        </w:trPr>
        <w:tc>
          <w:tcPr>
            <w:tcW w:w="5780" w:type="dxa"/>
            <w:vAlign w:val="bottom"/>
            <w:gridSpan w:val="4"/>
          </w:tcPr>
          <w:p>
            <w:pPr>
              <w:ind w:left="20"/>
              <w:spacing w:after="0"/>
              <w:rPr>
                <w:sz w:val="20"/>
                <w:szCs w:val="20"/>
                <w:color w:val="auto"/>
              </w:rPr>
            </w:pPr>
            <w:r>
              <w:rPr>
                <w:rFonts w:ascii="Arial" w:cs="Arial" w:eastAsia="Arial" w:hAnsi="Arial"/>
                <w:sz w:val="17"/>
                <w:szCs w:val="17"/>
                <w:color w:val="auto"/>
              </w:rPr>
              <w:t>Gross profit, as reported</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12,905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990</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13,895</w:t>
            </w:r>
          </w:p>
        </w:tc>
      </w:tr>
      <w:tr>
        <w:trPr>
          <w:trHeight w:val="219"/>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Adjustment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w:t>
            </w:r>
          </w:p>
        </w:tc>
      </w:tr>
      <w:tr>
        <w:trPr>
          <w:trHeight w:val="213"/>
        </w:trPr>
        <w:tc>
          <w:tcPr>
            <w:tcW w:w="5780" w:type="dxa"/>
            <w:vAlign w:val="bottom"/>
            <w:gridSpan w:val="4"/>
          </w:tcPr>
          <w:p>
            <w:pPr>
              <w:ind w:left="20"/>
              <w:spacing w:after="0"/>
              <w:rPr>
                <w:sz w:val="20"/>
                <w:szCs w:val="20"/>
                <w:color w:val="auto"/>
              </w:rPr>
            </w:pPr>
            <w:r>
              <w:rPr>
                <w:rFonts w:ascii="Arial" w:cs="Arial" w:eastAsia="Arial" w:hAnsi="Arial"/>
                <w:sz w:val="17"/>
                <w:szCs w:val="17"/>
                <w:color w:val="auto"/>
              </w:rPr>
              <w:t>Gross profit, as restated</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12,905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13,220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8"/>
        </w:trPr>
        <w:tc>
          <w:tcPr>
            <w:tcW w:w="5780" w:type="dxa"/>
            <w:vAlign w:val="bottom"/>
            <w:gridSpan w:val="4"/>
          </w:tcPr>
          <w:p>
            <w:pPr>
              <w:ind w:left="20"/>
              <w:spacing w:after="0"/>
              <w:rPr>
                <w:sz w:val="20"/>
                <w:szCs w:val="20"/>
                <w:color w:val="auto"/>
              </w:rPr>
            </w:pPr>
            <w:r>
              <w:rPr>
                <w:rFonts w:ascii="Arial" w:cs="Arial" w:eastAsia="Arial" w:hAnsi="Arial"/>
                <w:sz w:val="17"/>
                <w:szCs w:val="17"/>
                <w:color w:val="auto"/>
              </w:rPr>
              <w:t>Net income (loss) from continuing operations, as reported</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(6,312)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(7,106)</w:t>
            </w:r>
          </w:p>
        </w:tc>
      </w:tr>
      <w:tr>
        <w:trPr>
          <w:trHeight w:val="219"/>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Adjustment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w:t>
            </w:r>
          </w:p>
        </w:tc>
      </w:tr>
      <w:tr>
        <w:trPr>
          <w:trHeight w:val="213"/>
        </w:trPr>
        <w:tc>
          <w:tcPr>
            <w:tcW w:w="5780" w:type="dxa"/>
            <w:vAlign w:val="bottom"/>
            <w:gridSpan w:val="4"/>
          </w:tcPr>
          <w:p>
            <w:pPr>
              <w:ind w:left="20"/>
              <w:spacing w:after="0"/>
              <w:rPr>
                <w:sz w:val="20"/>
                <w:szCs w:val="20"/>
                <w:color w:val="auto"/>
              </w:rPr>
            </w:pPr>
            <w:r>
              <w:rPr>
                <w:rFonts w:ascii="Arial" w:cs="Arial" w:eastAsia="Arial" w:hAnsi="Arial"/>
                <w:sz w:val="17"/>
                <w:szCs w:val="17"/>
                <w:color w:val="auto"/>
              </w:rPr>
              <w:t>Net income (loss) from continuing operations, as restated</w:t>
            </w: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5,054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(7,043)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(6,312)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(8,301)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8"/>
        </w:trPr>
        <w:tc>
          <w:tcPr>
            <w:tcW w:w="5780" w:type="dxa"/>
            <w:vAlign w:val="bottom"/>
            <w:gridSpan w:val="4"/>
          </w:tcPr>
          <w:p>
            <w:pPr>
              <w:ind w:left="20"/>
              <w:spacing w:after="0"/>
              <w:rPr>
                <w:sz w:val="20"/>
                <w:szCs w:val="20"/>
                <w:color w:val="auto"/>
              </w:rPr>
            </w:pPr>
            <w:r>
              <w:rPr>
                <w:rFonts w:ascii="Arial" w:cs="Arial" w:eastAsia="Arial" w:hAnsi="Arial"/>
                <w:sz w:val="17"/>
                <w:szCs w:val="17"/>
                <w:color w:val="auto"/>
              </w:rPr>
              <w:t>Loss from discontinued operations, as reported</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(5,744)</w:t>
            </w:r>
          </w:p>
        </w:tc>
      </w:tr>
      <w:tr>
        <w:trPr>
          <w:trHeight w:val="219"/>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Adjustment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w:t>
            </w:r>
          </w:p>
        </w:tc>
      </w:tr>
      <w:tr>
        <w:trPr>
          <w:trHeight w:val="213"/>
        </w:trPr>
        <w:tc>
          <w:tcPr>
            <w:tcW w:w="5780" w:type="dxa"/>
            <w:vAlign w:val="bottom"/>
            <w:gridSpan w:val="4"/>
          </w:tcPr>
          <w:p>
            <w:pPr>
              <w:ind w:left="20"/>
              <w:spacing w:after="0"/>
              <w:rPr>
                <w:sz w:val="20"/>
                <w:szCs w:val="20"/>
                <w:color w:val="auto"/>
              </w:rPr>
            </w:pPr>
            <w:r>
              <w:rPr>
                <w:rFonts w:ascii="Arial" w:cs="Arial" w:eastAsia="Arial" w:hAnsi="Arial"/>
                <w:sz w:val="17"/>
                <w:szCs w:val="17"/>
                <w:color w:val="auto"/>
              </w:rPr>
              <w:t>Loss from discontinued operations, as restated</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(4,785)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2700" w:type="dxa"/>
            <w:vAlign w:val="bottom"/>
            <w:tcBorders>
              <w:bottom w:val="single" w:sz="8" w:color="auto"/>
            </w:tcBorders>
          </w:tcPr>
          <w:p>
            <w:pPr>
              <w:spacing w:after="0" w:line="180" w:lineRule="exact"/>
              <w:rPr>
                <w:sz w:val="20"/>
                <w:szCs w:val="20"/>
                <w:color w:val="auto"/>
              </w:rPr>
            </w:pPr>
            <w:r>
              <w:rPr>
                <w:rFonts w:ascii="Arial" w:cs="Arial" w:eastAsia="Arial" w:hAnsi="Arial"/>
                <w:sz w:val="17"/>
                <w:szCs w:val="17"/>
                <w:color w:val="auto"/>
                <w:w w:val="91"/>
              </w:rPr>
              <w:t>Nine Months Ended February 27, 2022</w:t>
            </w:r>
          </w:p>
        </w:tc>
        <w:tc>
          <w:tcPr>
            <w:tcW w:w="30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8"/>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Gross profit, as reported</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39,045</w:t>
            </w:r>
          </w:p>
        </w:tc>
      </w:tr>
      <w:tr>
        <w:trPr>
          <w:trHeight w:val="218"/>
        </w:trPr>
        <w:tc>
          <w:tcPr>
            <w:tcW w:w="578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Adjustment</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w:t>
            </w:r>
          </w:p>
        </w:tc>
      </w:tr>
      <w:tr>
        <w:trPr>
          <w:trHeight w:val="233"/>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Gross profit, as restated</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30,384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9"/>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Net income (loss) from continuing operations, as reported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(10,510)</w:t>
            </w:r>
          </w:p>
        </w:tc>
      </w:tr>
      <w:tr>
        <w:trPr>
          <w:trHeight w:val="218"/>
        </w:trPr>
        <w:tc>
          <w:tcPr>
            <w:tcW w:w="5780" w:type="dxa"/>
            <w:vAlign w:val="bottom"/>
            <w:gridSpan w:val="4"/>
          </w:tcPr>
          <w:p>
            <w:pPr>
              <w:ind w:left="20"/>
              <w:spacing w:after="0"/>
              <w:rPr>
                <w:sz w:val="20"/>
                <w:szCs w:val="20"/>
                <w:color w:val="auto"/>
              </w:rPr>
            </w:pPr>
            <w:r>
              <w:rPr>
                <w:rFonts w:ascii="Arial" w:cs="Arial" w:eastAsia="Arial" w:hAnsi="Arial"/>
                <w:sz w:val="17"/>
                <w:szCs w:val="17"/>
                <w:color w:val="auto"/>
              </w:rPr>
              <w:t>Adjustment</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(1,330)</w:t>
            </w:r>
          </w:p>
        </w:tc>
      </w:tr>
      <w:tr>
        <w:trPr>
          <w:trHeight w:val="238"/>
        </w:trPr>
        <w:tc>
          <w:tcPr>
            <w:tcW w:w="578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Net income (loss) from continuing operations, as restated</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9"/>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as reported</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(50,258)</w:t>
            </w:r>
          </w:p>
        </w:tc>
      </w:tr>
      <w:tr>
        <w:trPr>
          <w:trHeight w:val="218"/>
        </w:trPr>
        <w:tc>
          <w:tcPr>
            <w:tcW w:w="578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Adjustment</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w:t>
            </w:r>
          </w:p>
        </w:tc>
      </w:tr>
      <w:tr>
        <w:trPr>
          <w:trHeight w:val="233"/>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as restated</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(46,235)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effects of this error on our previously reported fiscal year 2022 restructuring costs for the three- and nine-month periods ended February 27, 2022 as presented in the Company’s fiscal year 2022 third quarter Form 10-Q Note 8 - Restructuring Costs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gridSpan w:val="4"/>
          </w:tcPr>
          <w:p>
            <w:pPr>
              <w:ind w:left="20"/>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20" w:type="dxa"/>
            <w:vAlign w:val="bottom"/>
            <w:gridSpan w:val="4"/>
          </w:tcPr>
          <w:p>
            <w:pPr>
              <w:ind w:left="20"/>
              <w:spacing w:after="0" w:line="180" w:lineRule="exact"/>
              <w:rPr>
                <w:sz w:val="20"/>
                <w:szCs w:val="20"/>
                <w:color w:val="auto"/>
              </w:rPr>
            </w:pPr>
            <w:r>
              <w:rPr>
                <w:rFonts w:ascii="Arial" w:cs="Arial" w:eastAsia="Arial" w:hAnsi="Arial"/>
                <w:sz w:val="17"/>
                <w:szCs w:val="17"/>
                <w:i w:val="1"/>
                <w:iCs w:val="1"/>
                <w:color w:val="auto"/>
              </w:rPr>
              <w:t>Three Months Ended February 27, 2022</w:t>
            </w:r>
          </w:p>
        </w:tc>
        <w:tc>
          <w:tcPr>
            <w:tcW w:w="260" w:type="dxa"/>
            <w:vAlign w:val="bottom"/>
          </w:tcPr>
          <w:p>
            <w:pPr>
              <w:spacing w:after="0"/>
              <w:rPr>
                <w:sz w:val="15"/>
                <w:szCs w:val="15"/>
                <w:color w:val="auto"/>
              </w:rPr>
            </w:pPr>
          </w:p>
        </w:tc>
        <w:tc>
          <w:tcPr>
            <w:tcW w:w="1320" w:type="dxa"/>
            <w:vAlign w:val="bottom"/>
            <w:gridSpan w:val="2"/>
          </w:tcPr>
          <w:p>
            <w:pPr>
              <w:ind w:left="160"/>
              <w:spacing w:after="0" w:line="180" w:lineRule="exact"/>
              <w:rPr>
                <w:sz w:val="20"/>
                <w:szCs w:val="20"/>
                <w:color w:val="auto"/>
              </w:rPr>
            </w:pPr>
            <w:r>
              <w:rPr>
                <w:rFonts w:ascii="Arial" w:cs="Arial" w:eastAsia="Arial" w:hAnsi="Arial"/>
                <w:sz w:val="17"/>
                <w:szCs w:val="17"/>
                <w:color w:val="auto"/>
              </w:rPr>
              <w:t>Lifecore</w:t>
            </w:r>
          </w:p>
        </w:tc>
        <w:tc>
          <w:tcPr>
            <w:tcW w:w="160" w:type="dxa"/>
            <w:vAlign w:val="bottom"/>
          </w:tcPr>
          <w:p>
            <w:pPr>
              <w:spacing w:after="0"/>
              <w:rPr>
                <w:sz w:val="15"/>
                <w:szCs w:val="15"/>
                <w:color w:val="auto"/>
              </w:rPr>
            </w:pPr>
          </w:p>
        </w:tc>
        <w:tc>
          <w:tcPr>
            <w:tcW w:w="1440" w:type="dxa"/>
            <w:vAlign w:val="bottom"/>
            <w:gridSpan w:val="2"/>
          </w:tcPr>
          <w:p>
            <w:pPr>
              <w:ind w:left="40"/>
              <w:spacing w:after="0" w:line="180" w:lineRule="exact"/>
              <w:rPr>
                <w:sz w:val="20"/>
                <w:szCs w:val="20"/>
                <w:color w:val="auto"/>
              </w:rPr>
            </w:pPr>
            <w:r>
              <w:rPr>
                <w:rFonts w:ascii="Arial" w:cs="Arial" w:eastAsia="Arial" w:hAnsi="Arial"/>
                <w:sz w:val="17"/>
                <w:szCs w:val="17"/>
                <w:color w:val="auto"/>
              </w:rPr>
              <w:t>Curation Foods</w:t>
            </w:r>
          </w:p>
        </w:tc>
        <w:tc>
          <w:tcPr>
            <w:tcW w:w="320" w:type="dxa"/>
            <w:vAlign w:val="bottom"/>
          </w:tcPr>
          <w:p>
            <w:pPr>
              <w:spacing w:after="0"/>
              <w:rPr>
                <w:sz w:val="15"/>
                <w:szCs w:val="15"/>
                <w:color w:val="auto"/>
              </w:rPr>
            </w:pPr>
          </w:p>
        </w:tc>
        <w:tc>
          <w:tcPr>
            <w:tcW w:w="1260" w:type="dxa"/>
            <w:vAlign w:val="bottom"/>
            <w:gridSpan w:val="2"/>
          </w:tcPr>
          <w:p>
            <w:pPr>
              <w:ind w:left="200"/>
              <w:spacing w:after="0" w:line="180" w:lineRule="exact"/>
              <w:rPr>
                <w:sz w:val="20"/>
                <w:szCs w:val="20"/>
                <w:color w:val="auto"/>
              </w:rPr>
            </w:pPr>
            <w:r>
              <w:rPr>
                <w:rFonts w:ascii="Arial" w:cs="Arial" w:eastAsia="Arial" w:hAnsi="Arial"/>
                <w:sz w:val="17"/>
                <w:szCs w:val="17"/>
                <w:color w:val="auto"/>
              </w:rPr>
              <w:t>Other</w:t>
            </w:r>
          </w:p>
        </w:tc>
        <w:tc>
          <w:tcPr>
            <w:tcW w:w="340" w:type="dxa"/>
            <w:vAlign w:val="bottom"/>
          </w:tcPr>
          <w:p>
            <w:pPr>
              <w:spacing w:after="0"/>
              <w:rPr>
                <w:sz w:val="15"/>
                <w:szCs w:val="15"/>
                <w:color w:val="auto"/>
              </w:rPr>
            </w:pPr>
          </w:p>
        </w:tc>
        <w:tc>
          <w:tcPr>
            <w:tcW w:w="1120" w:type="dxa"/>
            <w:vAlign w:val="bottom"/>
          </w:tcPr>
          <w:p>
            <w:pPr>
              <w:jc w:val="right"/>
              <w:ind w:right="454"/>
              <w:spacing w:after="0" w:line="180" w:lineRule="exact"/>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020" w:type="dxa"/>
            <w:vAlign w:val="bottom"/>
            <w:gridSpan w:val="4"/>
            <w:shd w:val="clear" w:color="auto" w:fill="CCEEFF"/>
          </w:tcPr>
          <w:p>
            <w:pPr>
              <w:ind w:left="20"/>
              <w:spacing w:after="0" w:line="172" w:lineRule="exact"/>
              <w:rPr>
                <w:sz w:val="20"/>
                <w:szCs w:val="20"/>
                <w:color w:val="auto"/>
              </w:rPr>
            </w:pPr>
            <w:r>
              <w:rPr>
                <w:rFonts w:ascii="Arial" w:cs="Arial" w:eastAsia="Arial" w:hAnsi="Arial"/>
                <w:sz w:val="17"/>
                <w:szCs w:val="17"/>
                <w:color w:val="auto"/>
              </w:rPr>
              <w:t>Total restructuring costs, as reported</w:t>
            </w:r>
          </w:p>
        </w:tc>
        <w:tc>
          <w:tcPr>
            <w:tcW w:w="260" w:type="dxa"/>
            <w:vAlign w:val="bottom"/>
            <w:shd w:val="clear" w:color="auto" w:fill="CCEEFF"/>
          </w:tcPr>
          <w:p>
            <w:pPr>
              <w:jc w:val="right"/>
              <w:ind w:right="74"/>
              <w:spacing w:after="0" w:line="172" w:lineRule="exact"/>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271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5,344</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34"/>
              <w:spacing w:after="0" w:line="172" w:lineRule="exact"/>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250</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34"/>
              <w:spacing w:after="0" w:line="172"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5,865</w:t>
            </w:r>
          </w:p>
        </w:tc>
        <w:tc>
          <w:tcPr>
            <w:tcW w:w="0" w:type="dxa"/>
            <w:vAlign w:val="bottom"/>
          </w:tcPr>
          <w:p>
            <w:pPr>
              <w:spacing w:after="0"/>
              <w:rPr>
                <w:sz w:val="1"/>
                <w:szCs w:val="1"/>
                <w:color w:val="auto"/>
              </w:rPr>
            </w:pPr>
          </w:p>
        </w:tc>
      </w:tr>
      <w:tr>
        <w:trPr>
          <w:trHeight w:val="193"/>
        </w:trPr>
        <w:tc>
          <w:tcPr>
            <w:tcW w:w="5020" w:type="dxa"/>
            <w:vAlign w:val="bottom"/>
            <w:tcBorders>
              <w:bottom w:val="single" w:sz="8" w:color="CCEEFF"/>
            </w:tcBorders>
            <w:gridSpan w:val="4"/>
          </w:tcPr>
          <w:p>
            <w:pPr>
              <w:ind w:left="20"/>
              <w:spacing w:after="0" w:line="194" w:lineRule="exact"/>
              <w:rPr>
                <w:sz w:val="20"/>
                <w:szCs w:val="20"/>
                <w:color w:val="auto"/>
              </w:rPr>
            </w:pPr>
            <w:r>
              <w:rPr>
                <w:rFonts w:ascii="Arial" w:cs="Arial" w:eastAsia="Arial" w:hAnsi="Arial"/>
                <w:sz w:val="17"/>
                <w:szCs w:val="17"/>
                <w:color w:val="auto"/>
              </w:rPr>
              <w:t>Adjustment</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(271)</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(124)</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(200)</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(595)</w:t>
            </w:r>
          </w:p>
        </w:tc>
        <w:tc>
          <w:tcPr>
            <w:tcW w:w="0" w:type="dxa"/>
            <w:vAlign w:val="bottom"/>
          </w:tcPr>
          <w:p>
            <w:pPr>
              <w:spacing w:after="0"/>
              <w:rPr>
                <w:sz w:val="1"/>
                <w:szCs w:val="1"/>
                <w:color w:val="auto"/>
              </w:rPr>
            </w:pPr>
          </w:p>
        </w:tc>
      </w:tr>
      <w:tr>
        <w:trPr>
          <w:trHeight w:val="211"/>
        </w:trPr>
        <w:tc>
          <w:tcPr>
            <w:tcW w:w="5020" w:type="dxa"/>
            <w:vAlign w:val="bottom"/>
            <w:tcBorders>
              <w:bottom w:val="single" w:sz="8" w:color="CCEEFF"/>
            </w:tcBorders>
            <w:gridSpan w:val="4"/>
            <w:shd w:val="clear" w:color="auto" w:fill="CCEEFF"/>
          </w:tcPr>
          <w:p>
            <w:pPr>
              <w:ind w:left="20"/>
              <w:spacing w:after="0" w:line="186" w:lineRule="exact"/>
              <w:rPr>
                <w:sz w:val="20"/>
                <w:szCs w:val="20"/>
                <w:color w:val="auto"/>
              </w:rPr>
            </w:pPr>
            <w:r>
              <w:rPr>
                <w:rFonts w:ascii="Arial" w:cs="Arial" w:eastAsia="Arial" w:hAnsi="Arial"/>
                <w:sz w:val="17"/>
                <w:szCs w:val="17"/>
                <w:color w:val="auto"/>
              </w:rPr>
              <w:t>Total restructuring costs, as restated</w:t>
            </w:r>
          </w:p>
        </w:tc>
        <w:tc>
          <w:tcPr>
            <w:tcW w:w="260" w:type="dxa"/>
            <w:vAlign w:val="bottom"/>
            <w:tcBorders>
              <w:bottom w:val="single" w:sz="8" w:color="auto"/>
            </w:tcBorders>
            <w:shd w:val="clear" w:color="auto" w:fill="CCEEFF"/>
          </w:tcPr>
          <w:p>
            <w:pPr>
              <w:jc w:val="right"/>
              <w:ind w:right="74"/>
              <w:spacing w:after="0" w:line="186"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5,220</w:t>
            </w: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4"/>
              <w:spacing w:after="0" w:line="186"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50</w:t>
            </w: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34"/>
              <w:spacing w:after="0" w:line="186"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5,270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02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20" w:type="dxa"/>
            <w:vAlign w:val="bottom"/>
            <w:gridSpan w:val="4"/>
          </w:tcPr>
          <w:p>
            <w:pPr>
              <w:ind w:left="20"/>
              <w:spacing w:after="0" w:line="180" w:lineRule="exact"/>
              <w:rPr>
                <w:sz w:val="20"/>
                <w:szCs w:val="20"/>
                <w:color w:val="auto"/>
              </w:rPr>
            </w:pPr>
            <w:r>
              <w:rPr>
                <w:rFonts w:ascii="Arial" w:cs="Arial" w:eastAsia="Arial" w:hAnsi="Arial"/>
                <w:sz w:val="17"/>
                <w:szCs w:val="17"/>
                <w:i w:val="1"/>
                <w:iCs w:val="1"/>
                <w:color w:val="auto"/>
              </w:rPr>
              <w:t>Nine Months Ended February 27, 2022</w:t>
            </w:r>
          </w:p>
        </w:tc>
        <w:tc>
          <w:tcPr>
            <w:tcW w:w="260" w:type="dxa"/>
            <w:vAlign w:val="bottom"/>
          </w:tcPr>
          <w:p>
            <w:pPr>
              <w:spacing w:after="0"/>
              <w:rPr>
                <w:sz w:val="15"/>
                <w:szCs w:val="15"/>
                <w:color w:val="auto"/>
              </w:rPr>
            </w:pPr>
          </w:p>
        </w:tc>
        <w:tc>
          <w:tcPr>
            <w:tcW w:w="1320" w:type="dxa"/>
            <w:vAlign w:val="bottom"/>
            <w:gridSpan w:val="2"/>
          </w:tcPr>
          <w:p>
            <w:pPr>
              <w:ind w:left="160"/>
              <w:spacing w:after="0" w:line="180" w:lineRule="exact"/>
              <w:rPr>
                <w:sz w:val="20"/>
                <w:szCs w:val="20"/>
                <w:color w:val="auto"/>
              </w:rPr>
            </w:pPr>
            <w:r>
              <w:rPr>
                <w:rFonts w:ascii="Arial" w:cs="Arial" w:eastAsia="Arial" w:hAnsi="Arial"/>
                <w:sz w:val="17"/>
                <w:szCs w:val="17"/>
                <w:color w:val="auto"/>
              </w:rPr>
              <w:t>Lifecore</w:t>
            </w:r>
          </w:p>
        </w:tc>
        <w:tc>
          <w:tcPr>
            <w:tcW w:w="160" w:type="dxa"/>
            <w:vAlign w:val="bottom"/>
          </w:tcPr>
          <w:p>
            <w:pPr>
              <w:spacing w:after="0"/>
              <w:rPr>
                <w:sz w:val="15"/>
                <w:szCs w:val="15"/>
                <w:color w:val="auto"/>
              </w:rPr>
            </w:pPr>
          </w:p>
        </w:tc>
        <w:tc>
          <w:tcPr>
            <w:tcW w:w="1440" w:type="dxa"/>
            <w:vAlign w:val="bottom"/>
            <w:gridSpan w:val="2"/>
          </w:tcPr>
          <w:p>
            <w:pPr>
              <w:ind w:left="40"/>
              <w:spacing w:after="0" w:line="180" w:lineRule="exact"/>
              <w:rPr>
                <w:sz w:val="20"/>
                <w:szCs w:val="20"/>
                <w:color w:val="auto"/>
              </w:rPr>
            </w:pPr>
            <w:r>
              <w:rPr>
                <w:rFonts w:ascii="Arial" w:cs="Arial" w:eastAsia="Arial" w:hAnsi="Arial"/>
                <w:sz w:val="17"/>
                <w:szCs w:val="17"/>
                <w:color w:val="auto"/>
              </w:rPr>
              <w:t>Curation Foods</w:t>
            </w:r>
          </w:p>
        </w:tc>
        <w:tc>
          <w:tcPr>
            <w:tcW w:w="320" w:type="dxa"/>
            <w:vAlign w:val="bottom"/>
          </w:tcPr>
          <w:p>
            <w:pPr>
              <w:spacing w:after="0"/>
              <w:rPr>
                <w:sz w:val="15"/>
                <w:szCs w:val="15"/>
                <w:color w:val="auto"/>
              </w:rPr>
            </w:pPr>
          </w:p>
        </w:tc>
        <w:tc>
          <w:tcPr>
            <w:tcW w:w="1260" w:type="dxa"/>
            <w:vAlign w:val="bottom"/>
            <w:gridSpan w:val="2"/>
          </w:tcPr>
          <w:p>
            <w:pPr>
              <w:ind w:left="200"/>
              <w:spacing w:after="0" w:line="180" w:lineRule="exact"/>
              <w:rPr>
                <w:sz w:val="20"/>
                <w:szCs w:val="20"/>
                <w:color w:val="auto"/>
              </w:rPr>
            </w:pPr>
            <w:r>
              <w:rPr>
                <w:rFonts w:ascii="Arial" w:cs="Arial" w:eastAsia="Arial" w:hAnsi="Arial"/>
                <w:sz w:val="17"/>
                <w:szCs w:val="17"/>
                <w:color w:val="auto"/>
              </w:rPr>
              <w:t>Other</w:t>
            </w:r>
          </w:p>
        </w:tc>
        <w:tc>
          <w:tcPr>
            <w:tcW w:w="340" w:type="dxa"/>
            <w:vAlign w:val="bottom"/>
          </w:tcPr>
          <w:p>
            <w:pPr>
              <w:spacing w:after="0"/>
              <w:rPr>
                <w:sz w:val="15"/>
                <w:szCs w:val="15"/>
                <w:color w:val="auto"/>
              </w:rPr>
            </w:pPr>
          </w:p>
        </w:tc>
        <w:tc>
          <w:tcPr>
            <w:tcW w:w="1120" w:type="dxa"/>
            <w:vAlign w:val="bottom"/>
          </w:tcPr>
          <w:p>
            <w:pPr>
              <w:jc w:val="right"/>
              <w:ind w:right="454"/>
              <w:spacing w:after="0" w:line="180" w:lineRule="exact"/>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020" w:type="dxa"/>
            <w:vAlign w:val="bottom"/>
            <w:gridSpan w:val="4"/>
            <w:shd w:val="clear" w:color="auto" w:fill="CCEEFF"/>
          </w:tcPr>
          <w:p>
            <w:pPr>
              <w:ind w:left="20"/>
              <w:spacing w:after="0" w:line="172" w:lineRule="exact"/>
              <w:rPr>
                <w:sz w:val="20"/>
                <w:szCs w:val="20"/>
                <w:color w:val="auto"/>
              </w:rPr>
            </w:pPr>
            <w:r>
              <w:rPr>
                <w:rFonts w:ascii="Arial" w:cs="Arial" w:eastAsia="Arial" w:hAnsi="Arial"/>
                <w:sz w:val="17"/>
                <w:szCs w:val="17"/>
                <w:color w:val="auto"/>
              </w:rPr>
              <w:t>Total restructuring costs, as reported</w:t>
            </w:r>
          </w:p>
        </w:tc>
        <w:tc>
          <w:tcPr>
            <w:tcW w:w="260" w:type="dxa"/>
            <w:vAlign w:val="bottom"/>
            <w:shd w:val="clear" w:color="auto" w:fill="CCEEFF"/>
          </w:tcPr>
          <w:p>
            <w:pPr>
              <w:jc w:val="right"/>
              <w:ind w:right="74"/>
              <w:spacing w:after="0" w:line="172" w:lineRule="exact"/>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271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5,810</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34"/>
              <w:spacing w:after="0" w:line="172" w:lineRule="exact"/>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2,325</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34"/>
              <w:spacing w:after="0" w:line="172"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8,406</w:t>
            </w:r>
          </w:p>
        </w:tc>
        <w:tc>
          <w:tcPr>
            <w:tcW w:w="0" w:type="dxa"/>
            <w:vAlign w:val="bottom"/>
          </w:tcPr>
          <w:p>
            <w:pPr>
              <w:spacing w:after="0"/>
              <w:rPr>
                <w:sz w:val="1"/>
                <w:szCs w:val="1"/>
                <w:color w:val="auto"/>
              </w:rPr>
            </w:pPr>
          </w:p>
        </w:tc>
      </w:tr>
      <w:tr>
        <w:trPr>
          <w:trHeight w:val="193"/>
        </w:trPr>
        <w:tc>
          <w:tcPr>
            <w:tcW w:w="5020" w:type="dxa"/>
            <w:vAlign w:val="bottom"/>
            <w:tcBorders>
              <w:bottom w:val="single" w:sz="8" w:color="CCEEFF"/>
            </w:tcBorders>
            <w:gridSpan w:val="4"/>
          </w:tcPr>
          <w:p>
            <w:pPr>
              <w:ind w:left="20"/>
              <w:spacing w:after="0" w:line="194" w:lineRule="exact"/>
              <w:rPr>
                <w:sz w:val="20"/>
                <w:szCs w:val="20"/>
                <w:color w:val="auto"/>
              </w:rPr>
            </w:pPr>
            <w:r>
              <w:rPr>
                <w:rFonts w:ascii="Arial" w:cs="Arial" w:eastAsia="Arial" w:hAnsi="Arial"/>
                <w:sz w:val="17"/>
                <w:szCs w:val="17"/>
                <w:color w:val="auto"/>
              </w:rPr>
              <w:t>Adjustment</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(271)</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(124)</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(481)</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(876)</w:t>
            </w:r>
          </w:p>
        </w:tc>
        <w:tc>
          <w:tcPr>
            <w:tcW w:w="0" w:type="dxa"/>
            <w:vAlign w:val="bottom"/>
          </w:tcPr>
          <w:p>
            <w:pPr>
              <w:spacing w:after="0"/>
              <w:rPr>
                <w:sz w:val="1"/>
                <w:szCs w:val="1"/>
                <w:color w:val="auto"/>
              </w:rPr>
            </w:pPr>
          </w:p>
        </w:tc>
      </w:tr>
      <w:tr>
        <w:trPr>
          <w:trHeight w:val="211"/>
        </w:trPr>
        <w:tc>
          <w:tcPr>
            <w:tcW w:w="5020" w:type="dxa"/>
            <w:vAlign w:val="bottom"/>
            <w:tcBorders>
              <w:bottom w:val="single" w:sz="8" w:color="CCEEFF"/>
            </w:tcBorders>
            <w:gridSpan w:val="4"/>
            <w:shd w:val="clear" w:color="auto" w:fill="CCEEFF"/>
          </w:tcPr>
          <w:p>
            <w:pPr>
              <w:ind w:left="20"/>
              <w:spacing w:after="0" w:line="186" w:lineRule="exact"/>
              <w:rPr>
                <w:sz w:val="20"/>
                <w:szCs w:val="20"/>
                <w:color w:val="auto"/>
              </w:rPr>
            </w:pPr>
            <w:r>
              <w:rPr>
                <w:rFonts w:ascii="Arial" w:cs="Arial" w:eastAsia="Arial" w:hAnsi="Arial"/>
                <w:sz w:val="17"/>
                <w:szCs w:val="17"/>
                <w:color w:val="auto"/>
              </w:rPr>
              <w:t>Total restructuring costs, as restated</w:t>
            </w:r>
          </w:p>
        </w:tc>
        <w:tc>
          <w:tcPr>
            <w:tcW w:w="260" w:type="dxa"/>
            <w:vAlign w:val="bottom"/>
            <w:tcBorders>
              <w:bottom w:val="single" w:sz="8" w:color="auto"/>
            </w:tcBorders>
            <w:shd w:val="clear" w:color="auto" w:fill="CCEEFF"/>
          </w:tcPr>
          <w:p>
            <w:pPr>
              <w:jc w:val="right"/>
              <w:ind w:right="74"/>
              <w:spacing w:after="0" w:line="186"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5,686</w:t>
            </w: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4"/>
              <w:spacing w:after="0" w:line="186"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1,844</w:t>
            </w: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34"/>
              <w:spacing w:after="0" w:line="186"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7,530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674"/>
              <w:spacing w:after="0"/>
              <w:rPr>
                <w:sz w:val="20"/>
                <w:szCs w:val="20"/>
                <w:color w:val="auto"/>
              </w:rPr>
            </w:pPr>
            <w:r>
              <w:rPr>
                <w:rFonts w:ascii="Arial" w:cs="Arial" w:eastAsia="Arial" w:hAnsi="Arial"/>
                <w:sz w:val="17"/>
                <w:szCs w:val="17"/>
                <w:color w:val="auto"/>
              </w:rPr>
              <w:t>99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4" w:name="page105"/>
    <w:bookmarkEnd w:id="104"/>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effects of this error on our previously reported May 30, 2021 carrying amounts of the major classes of assets and liabilities of the Eat Smart business included in assets and liabilities of discontinued operations as presented in the Company’s fiscal year 2022 third quarter Form 10-Q Note 9 - Discontinued Operations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i w:val="1"/>
                <w:iCs w:val="1"/>
                <w:color w:val="auto"/>
                <w:w w:val="90"/>
              </w:rPr>
              <w:t>As reported</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i w:val="1"/>
                <w:iCs w:val="1"/>
                <w:color w:val="auto"/>
              </w:rPr>
              <w:t>As restated</w:t>
            </w: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May 30, 2021</w:t>
            </w: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color w:val="auto"/>
              </w:rPr>
              <w:t>Adjustment</w:t>
            </w:r>
          </w:p>
        </w:tc>
        <w:tc>
          <w:tcPr>
            <w:tcW w:w="160" w:type="dxa"/>
            <w:vAlign w:val="bottom"/>
          </w:tcPr>
          <w:p>
            <w:pPr>
              <w:spacing w:after="0"/>
              <w:rPr>
                <w:sz w:val="18"/>
                <w:szCs w:val="18"/>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w w:val="97"/>
              </w:rPr>
              <w:t>May 30, 2021</w:t>
            </w:r>
          </w:p>
        </w:tc>
      </w:tr>
      <w:tr>
        <w:trPr>
          <w:trHeight w:val="20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66,789</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(7,516)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59,273</w:t>
            </w:r>
          </w:p>
        </w:tc>
      </w:tr>
      <w:tr>
        <w:trPr>
          <w:trHeight w:val="220"/>
        </w:trPr>
        <w:tc>
          <w:tcPr>
            <w:tcW w:w="6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 right-of-use assets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3,729</w:t>
            </w:r>
          </w:p>
        </w:tc>
      </w:tr>
      <w:tr>
        <w:trPr>
          <w:trHeight w:val="218"/>
        </w:trPr>
        <w:tc>
          <w:tcPr>
            <w:tcW w:w="6820" w:type="dxa"/>
            <w:vAlign w:val="bottom"/>
          </w:tcPr>
          <w:p>
            <w:pPr>
              <w:ind w:left="20"/>
              <w:spacing w:after="0"/>
              <w:rPr>
                <w:sz w:val="20"/>
                <w:szCs w:val="20"/>
                <w:color w:val="auto"/>
              </w:rPr>
            </w:pPr>
            <w:r>
              <w:rPr>
                <w:rFonts w:ascii="Arial" w:cs="Arial" w:eastAsia="Arial" w:hAnsi="Arial"/>
                <w:sz w:val="17"/>
                <w:szCs w:val="17"/>
                <w:color w:val="auto"/>
              </w:rPr>
              <w:t>Other assets, discontinued operations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171,274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(17,134)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154,140</w:t>
            </w:r>
          </w:p>
        </w:tc>
      </w:tr>
      <w:tr>
        <w:trPr>
          <w:trHeight w:val="220"/>
        </w:trPr>
        <w:tc>
          <w:tcPr>
            <w:tcW w:w="68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LIABILITIES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8"/>
        </w:trPr>
        <w:tc>
          <w:tcPr>
            <w:tcW w:w="6820" w:type="dxa"/>
            <w:vAlign w:val="bottom"/>
          </w:tcPr>
          <w:p>
            <w:pPr>
              <w:ind w:left="140"/>
              <w:spacing w:after="0"/>
              <w:rPr>
                <w:sz w:val="20"/>
                <w:szCs w:val="20"/>
                <w:color w:val="auto"/>
              </w:rPr>
            </w:pPr>
            <w:r>
              <w:rPr>
                <w:rFonts w:ascii="Arial" w:cs="Arial" w:eastAsia="Arial" w:hAnsi="Arial"/>
                <w:sz w:val="17"/>
                <w:szCs w:val="17"/>
                <w:color w:val="auto"/>
              </w:rPr>
              <w:t>Current portion of lease liabilities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2,289</w:t>
            </w: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 discontinued operations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42,644</w:t>
            </w:r>
          </w:p>
        </w:tc>
      </w:tr>
      <w:tr>
        <w:trPr>
          <w:trHeight w:val="244"/>
        </w:trPr>
        <w:tc>
          <w:tcPr>
            <w:tcW w:w="6820" w:type="dxa"/>
            <w:vAlign w:val="bottom"/>
          </w:tcPr>
          <w:p>
            <w:pPr>
              <w:ind w:left="120"/>
              <w:spacing w:after="0"/>
              <w:rPr>
                <w:sz w:val="20"/>
                <w:szCs w:val="20"/>
                <w:color w:val="auto"/>
              </w:rPr>
            </w:pPr>
            <w:r>
              <w:rPr>
                <w:rFonts w:ascii="Arial" w:cs="Arial" w:eastAsia="Arial" w:hAnsi="Arial"/>
                <w:sz w:val="17"/>
                <w:szCs w:val="17"/>
                <w:color w:val="002060"/>
              </w:rPr>
              <w:t>Long-term lease liabilities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14,030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(10,778)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3,252</w:t>
            </w:r>
          </w:p>
        </w:tc>
      </w:tr>
      <w:tr>
        <w:trPr>
          <w:trHeight w:val="246"/>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002060"/>
              </w:rPr>
              <w:t>Non-current liabilities, discontinued operations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3,981</w:t>
            </w: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effects of this error on our previously reported fiscal year 2022 components of loss from discontinued operations for the three-month period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2022 as presented in the Company’s fiscal year 2022 third quarter Form 10-Q Note 9 - Discontinued Operations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i w:val="1"/>
                <w:iCs w:val="1"/>
                <w:color w:val="auto"/>
                <w:w w:val="90"/>
              </w:rPr>
              <w:t>As reported</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i w:val="1"/>
                <w:iCs w:val="1"/>
                <w:color w:val="auto"/>
                <w:w w:val="97"/>
              </w:rPr>
              <w:t>As restated</w:t>
            </w: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520" w:type="dxa"/>
            <w:vAlign w:val="bottom"/>
            <w:gridSpan w:val="3"/>
          </w:tcPr>
          <w:p>
            <w:pPr>
              <w:jc w:val="center"/>
              <w:ind w:right="100"/>
              <w:spacing w:after="0"/>
              <w:rPr>
                <w:sz w:val="20"/>
                <w:szCs w:val="20"/>
                <w:color w:val="auto"/>
              </w:rPr>
            </w:pPr>
            <w:r>
              <w:rPr>
                <w:rFonts w:ascii="Arial" w:cs="Arial" w:eastAsia="Arial" w:hAnsi="Arial"/>
                <w:sz w:val="17"/>
                <w:szCs w:val="17"/>
                <w:color w:val="auto"/>
                <w:w w:val="90"/>
              </w:rPr>
              <w:t>February 27, 2022</w:t>
            </w: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color w:val="auto"/>
              </w:rPr>
              <w:t>Adjustment</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w w:val="94"/>
              </w:rPr>
              <w:t>February 27, 2022</w:t>
            </w:r>
          </w:p>
        </w:tc>
      </w:tr>
      <w:tr>
        <w:trPr>
          <w:trHeight w:val="20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costs and expenses:</w:t>
            </w: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8"/>
        </w:trPr>
        <w:tc>
          <w:tcPr>
            <w:tcW w:w="6820" w:type="dxa"/>
            <w:vAlign w:val="bottom"/>
          </w:tcPr>
          <w:p>
            <w:pPr>
              <w:ind w:left="140"/>
              <w:spacing w:after="0"/>
              <w:rPr>
                <w:sz w:val="20"/>
                <w:szCs w:val="20"/>
                <w:color w:val="auto"/>
              </w:rPr>
            </w:pPr>
            <w:r>
              <w:rPr>
                <w:rFonts w:ascii="Arial" w:cs="Arial" w:eastAsia="Arial" w:hAnsi="Arial"/>
                <w:sz w:val="17"/>
                <w:szCs w:val="17"/>
                <w:color w:val="auto"/>
              </w:rPr>
              <w:t>Loss on sale of Eat Smart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4,354</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(4,119)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20"/>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Restructuring cost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3,209</w:t>
            </w:r>
          </w:p>
        </w:tc>
      </w:tr>
      <w:tr>
        <w:trPr>
          <w:trHeight w:val="224"/>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002060"/>
              </w:rPr>
              <w:t>Total operating costs and expenses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4,605</w:t>
            </w: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002060"/>
              </w:rPr>
              <w:t>Operating loss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(4,766)</w:t>
            </w:r>
          </w:p>
        </w:tc>
      </w:tr>
      <w:tr>
        <w:trPr>
          <w:trHeight w:val="244"/>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002060"/>
              </w:rPr>
              <w:t>Income tax benefit</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w:t>
            </w:r>
          </w:p>
        </w:tc>
      </w:tr>
      <w:tr>
        <w:trPr>
          <w:trHeight w:val="23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002060"/>
              </w:rPr>
              <w:t>Loss from discontinued operations, net of tax</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effects of this error on our previously reported fiscal year 2022 components of loss from discontinued operations for the nine-month period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2022 as presented in the Company’s fiscal year 2022 third quarter Form 10-Q Note 9 - Discontinued Operations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i w:val="1"/>
                <w:iCs w:val="1"/>
                <w:color w:val="auto"/>
                <w:w w:val="90"/>
              </w:rPr>
              <w:t>As reported</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i w:val="1"/>
                <w:iCs w:val="1"/>
                <w:color w:val="auto"/>
                <w:w w:val="97"/>
              </w:rPr>
              <w:t>As restated</w:t>
            </w: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520" w:type="dxa"/>
            <w:vAlign w:val="bottom"/>
            <w:gridSpan w:val="3"/>
          </w:tcPr>
          <w:p>
            <w:pPr>
              <w:jc w:val="center"/>
              <w:ind w:right="100"/>
              <w:spacing w:after="0"/>
              <w:rPr>
                <w:sz w:val="20"/>
                <w:szCs w:val="20"/>
                <w:color w:val="auto"/>
              </w:rPr>
            </w:pPr>
            <w:r>
              <w:rPr>
                <w:rFonts w:ascii="Arial" w:cs="Arial" w:eastAsia="Arial" w:hAnsi="Arial"/>
                <w:sz w:val="17"/>
                <w:szCs w:val="17"/>
                <w:color w:val="auto"/>
                <w:w w:val="90"/>
              </w:rPr>
              <w:t>February 27, 2022</w:t>
            </w: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color w:val="auto"/>
              </w:rPr>
              <w:t>Adjustment</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w w:val="94"/>
              </w:rPr>
              <w:t>February 27, 2022</w:t>
            </w:r>
          </w:p>
        </w:tc>
      </w:tr>
      <w:tr>
        <w:trPr>
          <w:trHeight w:val="20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costs and expenses:</w:t>
            </w: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8"/>
        </w:trPr>
        <w:tc>
          <w:tcPr>
            <w:tcW w:w="6820" w:type="dxa"/>
            <w:vAlign w:val="bottom"/>
          </w:tcPr>
          <w:p>
            <w:pPr>
              <w:ind w:left="140"/>
              <w:spacing w:after="0"/>
              <w:rPr>
                <w:sz w:val="20"/>
                <w:szCs w:val="20"/>
                <w:color w:val="auto"/>
              </w:rPr>
            </w:pPr>
            <w:r>
              <w:rPr>
                <w:rFonts w:ascii="Arial" w:cs="Arial" w:eastAsia="Arial" w:hAnsi="Arial"/>
                <w:sz w:val="17"/>
                <w:szCs w:val="17"/>
                <w:color w:val="auto"/>
              </w:rPr>
              <w:t>Loss on sale of Eat Smart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4,354</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(4,119)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20"/>
        </w:trPr>
        <w:tc>
          <w:tcPr>
            <w:tcW w:w="6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Restructuring cost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4,642</w:t>
            </w:r>
          </w:p>
        </w:tc>
      </w:tr>
      <w:tr>
        <w:trPr>
          <w:trHeight w:val="224"/>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002060"/>
              </w:rPr>
              <w:t>Total operating costs and expenses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52,202</w:t>
            </w: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002060"/>
              </w:rPr>
              <w:t>Operating loss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(47,002)</w:t>
            </w:r>
          </w:p>
        </w:tc>
      </w:tr>
      <w:tr>
        <w:trPr>
          <w:trHeight w:val="244"/>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002060"/>
              </w:rPr>
              <w:t>Income tax benefit</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r>
      <w:tr>
        <w:trPr>
          <w:trHeight w:val="23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002060"/>
              </w:rPr>
              <w:t>Loss from discontinued operations, net of tax</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(49,276)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Subsequent Events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of BreatheWay Business Assets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5" w:name="page106"/>
    <w:bookmarkEnd w:id="105"/>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On June 2, 2022, the Company and Curation Foods entered into and closed an Asset Purchase Agreement (the “Purchase Agreement”) with Hazel Technologies, Inc. (the “Purchaser”), pursuant to which Curation Foods sold all of its assets related to BreatheWay packaging technology business to the Purchaser in exchange for an aggregate purchase price of $3.2 million. The Purchase Agreement included various representations, warranties and covenants of the parties generally customary for a transaction of this nature. Upon the sale, the Company received net proceeds of $3.1 million and recorded a gain of $2.1 million.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Purchase Agreement</w:t>
      </w:r>
    </w:p>
    <w:p>
      <w:pPr>
        <w:spacing w:after="0" w:line="243" w:lineRule="exact"/>
        <w:rPr>
          <w:sz w:val="20"/>
          <w:szCs w:val="20"/>
          <w:color w:val="auto"/>
        </w:rPr>
      </w:pPr>
    </w:p>
    <w:p>
      <w:pPr>
        <w:jc w:val="both"/>
        <w:ind w:firstLine="619"/>
        <w:spacing w:after="0" w:line="304" w:lineRule="auto"/>
        <w:rPr>
          <w:sz w:val="20"/>
          <w:szCs w:val="20"/>
          <w:color w:val="auto"/>
        </w:rPr>
      </w:pPr>
      <w:r>
        <w:rPr>
          <w:rFonts w:ascii="Arial" w:cs="Arial" w:eastAsia="Arial" w:hAnsi="Arial"/>
          <w:sz w:val="15"/>
          <w:szCs w:val="15"/>
          <w:color w:val="auto"/>
        </w:rPr>
        <w:t>On November 25, 2022, the Company simultaneously signed and closed a Securities Purchase Agreement (the “Agreement”) with an existing shareholder for the sale and issuance of 627,746 shares of its Common Stock (par value $0.001 per share) at a price per share equal to $7.97, for an aggregate purchase price of $5.0 million. Pursuant to the Agreement, the Company granted the purchaser certain piggyback registration rights and agreed, among other things, to indemnify</w:t>
      </w:r>
    </w:p>
    <w:p>
      <w:pPr>
        <w:spacing w:after="0" w:line="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such party under any registration statement filed that includes the shares from certain losses, claims, damages and liabilities. The proceeds will be used for capital expenditures associated with equipment manufacturing milestones based on demand from the Company’s development pipeline.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Limited waiver and Fourth Amendment to Term Loan and Revolver Credit Agreements</w:t>
      </w:r>
    </w:p>
    <w:p>
      <w:pPr>
        <w:spacing w:after="0" w:line="23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January 9, 2023, the Company entered into a Limited Waiver and Fourth Amendment to its existing term loan agreement with Goldman Sachs Specialty Lending Group, L.P. and Guggenheim Credit Services, LLC (“Amended Term Loan”) and its revolver credit agreement with BMO Harris Bank, N.A. (“Amended Revolver Credit Agreement” together with the Amended Term Loan, the “Credit Agreements”). Among other things, the limited waiver provided relief from events of default under the Credit Agreements related to certain financial covenant requirements as of November 27, 2022. There were no changes to the respective lending parties to the Credit Agreements.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Credit Agreements also provided for certain updates to the existing terms and covenants, including waiving the Fixed Charge Coverage and Leverage Ratios for the quarters ending November 27, 2022 and February 26, 2023 and were revised for all subsequent quarters; and the Minimum Consolidated Liquidity was reduced from $7.5 million to $1.0 million for the period from the effective date of the Amended Term Loan until May 28, 2023, then increasing to $7.5 million for subsequent periods. The Credit Agreements do not provide for any waiver of current or forecasted covenant violations as of the date of issuance of the consolidated financial statements.</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Amended Term Loan</w:t>
      </w:r>
    </w:p>
    <w:p>
      <w:pPr>
        <w:spacing w:after="0" w:line="165"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color w:val="auto"/>
        </w:rPr>
        <w:t>Pursuant to the Amended Term Loan, the term loan facility will remain at $170.0 million (comprised of the Initial Term Loan and Multi-Draw Term Loan, collectively, the “Term Loan”). The Amended Term Loan provides for principal payments by the Company of 5% per annum, payable quarterly in arrears in equal installments, commencing on February 28, 2025 (formerly March 30, 2023) with the remainder due at its original maturity date of December 25, 2025. Interest on the amounts outstanding under the Term Loan will include payment-in-kind interest (“PIK interest”) at the annual rate of 2%. The PIK interest expense charges will be added to the outstanding principal of the Term Loan. There were no changes to the spreads used in the determination of interest. Interest on the Term Loan is at a per annum rate based on either (i) the base rate plus a spread of 7.50% for the Initial Term Lean; or (ii) the SOFR rate plus a spread of 8.50% % for the Multi-Draw Loan. The Company paid a one-time amendment fee to the Term Loan lenders in an amount equal to 3% of the principal amount as of January 9, 2023.</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Amended Revolver Credit Agreement</w:t>
      </w:r>
    </w:p>
    <w:p>
      <w:pPr>
        <w:spacing w:after="0" w:line="178"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7"/>
          <w:szCs w:val="17"/>
          <w:color w:val="auto"/>
        </w:rPr>
        <w:t>Pursuant to the Amended Revolver Credit, the revolving line of credit commitment was reduced from $75.0 million to $60.0 million. This commitment was further reduced to $50.0 million upon the sale of Yucatan. The Amended Revolver Credit maintained the original maturity date of December 25, 2025. There were no changes to the spreads used in the determination of the interest rate. Interest on Revolver is based upon the Company’s average availability, at a per annum rate of either (i) secured overnight finance rate or SOFR rate (formerly used LIBOR) plus a spread of between 2.00% and 2.50% or (ii) base rate plus a spread of between 1.00% and 1.50%, plus a commitment fee, as applicable, of 0.375%; and plus (iii) for the period from December 1, 2022 until January 31, 2023, additional 2% per annum.</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A Preferred Share Purchase Agreement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6" w:name="page107"/>
    <w:bookmarkEnd w:id="106"/>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6"/>
          <w:szCs w:val="16"/>
          <w:color w:val="auto"/>
        </w:rPr>
        <w:t>On January 9, 2023, the Company simultaneously signed and closed a Securities Purchase Agreement (the “Purchase Agreement”) with a group of qualified investors. Pursuant to the Purchase Agreement, the Company issued and sold an aggregate of 38,750 shares of a new series of convertible preferred stock of the Company designated as Series A Preferred Shares, par value $0.001 per share (the “Preferred Shares”) for an aggregate of $38.75 million. The Preferred Shares rank senior to the Company’s Common Stock with respect to dividends, distributions and payments on liquidation, winding up and dissolution. Each holder of Preferred Shares has the right, at its option, to convert its Preferred Share, in whole or in part, into fully paid and non-assessable shares of our Common Stock at an initial conversion price equal to $7.00 per share. The conversion price is subject to customary anti-dilution adjustments, including in the event of any stock split, stock dividend, recapitalization or similar events, and is also subject to adjustment in the event of subsequent offerings of Common Stock or convertible securities by the Company for less than the conversion price. Immediately following the Closing, two Series A Preferred Share Directors were appointed to the Company’s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of Curation Foods’ Avocado Business</w:t>
      </w:r>
    </w:p>
    <w:p>
      <w:pPr>
        <w:spacing w:after="0" w:line="178" w:lineRule="exact"/>
        <w:rPr>
          <w:sz w:val="20"/>
          <w:szCs w:val="20"/>
          <w:color w:val="auto"/>
        </w:rPr>
      </w:pPr>
    </w:p>
    <w:p>
      <w:pPr>
        <w:jc w:val="both"/>
        <w:ind w:firstLine="619"/>
        <w:spacing w:after="0" w:line="288" w:lineRule="auto"/>
        <w:rPr>
          <w:sz w:val="20"/>
          <w:szCs w:val="20"/>
          <w:color w:val="auto"/>
        </w:rPr>
      </w:pPr>
      <w:r>
        <w:rPr>
          <w:rFonts w:ascii="Arial" w:cs="Arial" w:eastAsia="Arial" w:hAnsi="Arial"/>
          <w:sz w:val="15"/>
          <w:szCs w:val="15"/>
          <w:color w:val="auto"/>
        </w:rPr>
        <w:t>On February 7, 2023, the Company simultaneously signed and closed a Securities Purchase Agreement for the sale of all its outstanding equity interests in its Curation Foods’ avocado products business (the “SPA”) for an aggregate purchase price of $17.5 million in cash, subject to customary net working capital adjustments (the “Sale”). The SPA included a working capital adjustment period, various representations, warranties, and covenants of the parties generally customary for a transaction of this nature. The Company has entered into a Transition Services Agreement with the buyer to provide for a customary and orderly transition of the business, and such fees earned, and costs incurred for such transition services shall be included in continuing operations in subsequent periods. The Company expects to recognize a loss on the Sale in the third quarter ended February 26, 2023 of approximately $15 million to $17 million.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7" w:name="page108"/>
    <w:bookmarkEnd w:id="107"/>
    <w:p>
      <w:pPr>
        <w:ind w:left="7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20" w:hanging="617"/>
        <w:spacing w:after="0"/>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Index of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5"/>
              </w:rPr>
              <w:t>Exhibit</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0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320" w:type="dxa"/>
            <w:vAlign w:val="bottom"/>
            <w:gridSpan w:val="19"/>
          </w:tcPr>
          <w:p>
            <w:pPr>
              <w:ind w:left="700"/>
              <w:spacing w:after="0"/>
              <w:rPr>
                <w:sz w:val="20"/>
                <w:szCs w:val="20"/>
                <w:color w:val="auto"/>
              </w:rPr>
            </w:pPr>
            <w:r>
              <w:rPr>
                <w:rFonts w:ascii="Arial" w:cs="Arial" w:eastAsia="Arial" w:hAnsi="Arial"/>
                <w:sz w:val="17"/>
                <w:szCs w:val="17"/>
                <w:b w:val="1"/>
                <w:bCs w:val="1"/>
                <w:color w:val="auto"/>
              </w:rPr>
              <w:t>Exhibit Title</w:t>
            </w:r>
          </w:p>
        </w:tc>
        <w:tc>
          <w:tcPr>
            <w:tcW w:w="0" w:type="dxa"/>
            <w:vAlign w:val="bottom"/>
          </w:tcPr>
          <w:p>
            <w:pPr>
              <w:spacing w:after="0"/>
              <w:rPr>
                <w:sz w:val="1"/>
                <w:szCs w:val="1"/>
                <w:color w:val="auto"/>
              </w:rPr>
            </w:pPr>
          </w:p>
        </w:tc>
      </w:tr>
      <w:tr>
        <w:trPr>
          <w:trHeight w:val="393"/>
        </w:trPr>
        <w:tc>
          <w:tcPr>
            <w:tcW w:w="900" w:type="dxa"/>
            <w:vAlign w:val="bottom"/>
            <w:tcBorders>
              <w:top w:val="single" w:sz="8" w:color="auto"/>
            </w:tcBorders>
          </w:tcPr>
          <w:p>
            <w:pPr>
              <w:jc w:val="center"/>
              <w:ind w:right="114"/>
              <w:spacing w:after="0"/>
              <w:rPr>
                <w:sz w:val="20"/>
                <w:szCs w:val="20"/>
                <w:color w:val="auto"/>
              </w:rPr>
            </w:pPr>
            <w:r>
              <w:rPr>
                <w:rFonts w:ascii="Arial" w:cs="Arial" w:eastAsia="Arial" w:hAnsi="Arial"/>
                <w:sz w:val="17"/>
                <w:szCs w:val="17"/>
                <w:color w:val="auto"/>
                <w:w w:val="92"/>
              </w:rPr>
              <w:t>2.1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60" w:type="dxa"/>
            <w:vAlign w:val="bottom"/>
            <w:tcBorders>
              <w:top w:val="single" w:sz="8" w:color="auto"/>
              <w:bottom w:val="single" w:sz="8" w:color="0000FF"/>
            </w:tcBorders>
            <w:gridSpan w:val="17"/>
          </w:tcPr>
          <w:p>
            <w:pPr>
              <w:spacing w:after="0"/>
              <w:rPr>
                <w:rFonts w:ascii="Arial" w:cs="Arial" w:eastAsia="Arial" w:hAnsi="Arial"/>
                <w:sz w:val="17"/>
                <w:szCs w:val="17"/>
                <w:color w:val="0000FF"/>
                <w:w w:val="90"/>
              </w:rPr>
            </w:pPr>
            <w:hyperlink r:id="rId130">
              <w:r>
                <w:rPr>
                  <w:rFonts w:ascii="Arial" w:cs="Arial" w:eastAsia="Arial" w:hAnsi="Arial"/>
                  <w:sz w:val="17"/>
                  <w:szCs w:val="17"/>
                  <w:color w:val="0000FF"/>
                  <w:w w:val="90"/>
                </w:rPr>
                <w:t>Asset Purchase Agreement, dated June 1, 2021, by and among the Company, Curation Foods, and Taylor Farms Retail, Inc., incorporated by</w:t>
              </w:r>
            </w:hyperlink>
          </w:p>
        </w:tc>
        <w:tc>
          <w:tcPr>
            <w:tcW w:w="500" w:type="dxa"/>
            <w:vAlign w:val="bottom"/>
            <w:tcBorders>
              <w:top w:val="single" w:sz="8" w:color="auto"/>
            </w:tcBorders>
            <w:gridSpan w:val="12"/>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gridSpan w:val="29"/>
          </w:tcPr>
          <w:p>
            <w:pPr>
              <w:spacing w:after="0" w:line="173" w:lineRule="exact"/>
              <w:rPr>
                <w:rFonts w:ascii="Arial" w:cs="Arial" w:eastAsia="Arial" w:hAnsi="Arial"/>
                <w:sz w:val="17"/>
                <w:szCs w:val="17"/>
                <w:color w:val="0000FF"/>
              </w:rPr>
            </w:pPr>
            <w:hyperlink r:id="rId130">
              <w:r>
                <w:rPr>
                  <w:rFonts w:ascii="Arial" w:cs="Arial" w:eastAsia="Arial" w:hAnsi="Arial"/>
                  <w:sz w:val="17"/>
                  <w:szCs w:val="17"/>
                  <w:color w:val="0000FF"/>
                </w:rPr>
                <w:t>reference to Exhibit 2.1 to the Registrant’s Current Report on Form 8-K filed on December 17, 2021.</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7"/>
              </w:rPr>
            </w:pPr>
            <w:hyperlink r:id="rId131">
              <w:r>
                <w:rPr>
                  <w:rFonts w:ascii="Arial" w:cs="Arial" w:eastAsia="Arial" w:hAnsi="Arial"/>
                  <w:sz w:val="17"/>
                  <w:szCs w:val="17"/>
                  <w:color w:val="0000FF"/>
                  <w:w w:val="97"/>
                </w:rPr>
                <w:t>Certificate of Incorporation of the Registrant, incorporated herein by reference to Exhibit 3.1 to the Registrant’s Current Report on Form 8-K</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r:id="rId131">
              <w:r>
                <w:rPr>
                  <w:rFonts w:ascii="Arial" w:cs="Arial" w:eastAsia="Arial" w:hAnsi="Arial"/>
                  <w:sz w:val="17"/>
                  <w:szCs w:val="17"/>
                  <w:color w:val="0000FF"/>
                </w:rPr>
                <w:t>filed on November 7, 2008.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3"/>
              </w:rPr>
            </w:pPr>
            <w:hyperlink r:id="rId132">
              <w:r>
                <w:rPr>
                  <w:rFonts w:ascii="Arial" w:cs="Arial" w:eastAsia="Arial" w:hAnsi="Arial"/>
                  <w:sz w:val="17"/>
                  <w:szCs w:val="17"/>
                  <w:color w:val="0000FF"/>
                  <w:w w:val="93"/>
                </w:rPr>
                <w:t>Amended and Restated By-Laws of the Registrant, incorporated herein by reference to Exhibit 3.1 to the Registrant’s Current Report on Form 8-</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3"/>
          </w:tcPr>
          <w:p>
            <w:pPr>
              <w:spacing w:after="0" w:line="148" w:lineRule="exact"/>
              <w:rPr>
                <w:rFonts w:ascii="Arial" w:cs="Arial" w:eastAsia="Arial" w:hAnsi="Arial"/>
                <w:sz w:val="17"/>
                <w:szCs w:val="17"/>
                <w:color w:val="0000FF"/>
              </w:rPr>
            </w:pPr>
            <w:hyperlink r:id="rId132">
              <w:r>
                <w:rPr>
                  <w:rFonts w:ascii="Arial" w:cs="Arial" w:eastAsia="Arial" w:hAnsi="Arial"/>
                  <w:sz w:val="17"/>
                  <w:szCs w:val="17"/>
                  <w:color w:val="0000FF"/>
                </w:rPr>
                <w:t>K filed on October 16, 2012.</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2"/>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4"/>
              </w:rPr>
            </w:pPr>
            <w:hyperlink r:id="rId133">
              <w:r>
                <w:rPr>
                  <w:rFonts w:ascii="Arial" w:cs="Arial" w:eastAsia="Arial" w:hAnsi="Arial"/>
                  <w:sz w:val="17"/>
                  <w:szCs w:val="17"/>
                  <w:color w:val="0000FF"/>
                  <w:w w:val="94"/>
                </w:rPr>
                <w:t>Amendment No. 1 to By-Laws of the Registrant, incorporated herein by reference to Exhibit 3.1 to the Registrant’s Current Report on Form 8-K</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3"/>
              </w:rPr>
            </w:pPr>
            <w:hyperlink r:id="rId133">
              <w:r>
                <w:rPr>
                  <w:rFonts w:ascii="Arial" w:cs="Arial" w:eastAsia="Arial" w:hAnsi="Arial"/>
                  <w:sz w:val="17"/>
                  <w:szCs w:val="17"/>
                  <w:color w:val="0000FF"/>
                  <w:w w:val="93"/>
                </w:rPr>
                <w:t>filed on May 7, 2019.</w:t>
              </w:r>
            </w:hyperlink>
          </w:p>
        </w:tc>
        <w:tc>
          <w:tcPr>
            <w:tcW w:w="858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2"/>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4"/>
              </w:rPr>
            </w:pPr>
            <w:hyperlink r:id="rId134">
              <w:r>
                <w:rPr>
                  <w:rFonts w:ascii="Arial" w:cs="Arial" w:eastAsia="Arial" w:hAnsi="Arial"/>
                  <w:sz w:val="17"/>
                  <w:szCs w:val="17"/>
                  <w:color w:val="0000FF"/>
                  <w:w w:val="94"/>
                </w:rPr>
                <w:t>Amendment No. 2 to By-Laws of the Registrant, incorporated herein by reference to Exhibit 3.1 to the Registrant’s Current Report on Form 8-K</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3"/>
              </w:rPr>
            </w:pPr>
            <w:hyperlink r:id="rId134">
              <w:r>
                <w:rPr>
                  <w:rFonts w:ascii="Arial" w:cs="Arial" w:eastAsia="Arial" w:hAnsi="Arial"/>
                  <w:sz w:val="17"/>
                  <w:szCs w:val="17"/>
                  <w:color w:val="0000FF"/>
                  <w:w w:val="93"/>
                </w:rPr>
                <w:t>filed on May 24, 2019.</w:t>
              </w:r>
            </w:hyperlink>
          </w:p>
        </w:tc>
        <w:tc>
          <w:tcPr>
            <w:tcW w:w="850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2"/>
              </w:rPr>
              <w:t>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4"/>
              </w:rPr>
            </w:pPr>
            <w:hyperlink r:id="rId135">
              <w:r>
                <w:rPr>
                  <w:rFonts w:ascii="Arial" w:cs="Arial" w:eastAsia="Arial" w:hAnsi="Arial"/>
                  <w:sz w:val="17"/>
                  <w:szCs w:val="17"/>
                  <w:color w:val="0000FF"/>
                  <w:w w:val="94"/>
                </w:rPr>
                <w:t>Amendment No. 3 to By-Laws of the Registrant, incorporated herein by reference to Exhibit 3.1 to the Registrant’s Current Report on Form 8-K</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w w:val="91"/>
              </w:rPr>
            </w:pPr>
            <w:hyperlink r:id="rId135">
              <w:r>
                <w:rPr>
                  <w:rFonts w:ascii="Arial" w:cs="Arial" w:eastAsia="Arial" w:hAnsi="Arial"/>
                  <w:sz w:val="17"/>
                  <w:szCs w:val="17"/>
                  <w:color w:val="0000FF"/>
                  <w:w w:val="91"/>
                </w:rPr>
                <w:t>filed on October 19, 2020.</w:t>
              </w:r>
            </w:hyperlink>
          </w:p>
        </w:tc>
        <w:tc>
          <w:tcPr>
            <w:tcW w:w="826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0"/>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rPr>
            </w:pPr>
            <w:hyperlink r:id="rId136">
              <w:r>
                <w:rPr>
                  <w:rFonts w:ascii="Arial" w:cs="Arial" w:eastAsia="Arial" w:hAnsi="Arial"/>
                  <w:sz w:val="17"/>
                  <w:szCs w:val="17"/>
                  <w:color w:val="0000FF"/>
                </w:rPr>
                <w:t>Description of Capital Stock, incorporated herein by reference to Exhibit 4.1 to the Registrant’s Annual Report on Form 10-K filed on</w:t>
              </w:r>
            </w:hyperlink>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20" w:type="dxa"/>
            <w:vAlign w:val="bottom"/>
            <w:tcBorders>
              <w:top w:val="single" w:sz="8" w:color="0000FF"/>
            </w:tcBorders>
            <w:gridSpan w:val="16"/>
          </w:tcPr>
          <w:p>
            <w:pPr>
              <w:spacing w:after="0" w:line="173" w:lineRule="exact"/>
              <w:rPr>
                <w:rFonts w:ascii="Arial" w:cs="Arial" w:eastAsia="Arial" w:hAnsi="Arial"/>
                <w:sz w:val="17"/>
                <w:szCs w:val="17"/>
                <w:color w:val="0000FF"/>
              </w:rPr>
            </w:pPr>
            <w:hyperlink r:id="rId136">
              <w:r>
                <w:rPr>
                  <w:rFonts w:ascii="Arial" w:cs="Arial" w:eastAsia="Arial" w:hAnsi="Arial"/>
                  <w:sz w:val="17"/>
                  <w:szCs w:val="17"/>
                  <w:color w:val="0000FF"/>
                </w:rPr>
                <w:t>September 14, 2022.</w:t>
              </w:r>
            </w:hyperlink>
          </w:p>
        </w:tc>
        <w:tc>
          <w:tcPr>
            <w:tcW w:w="9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6"/>
              </w:rPr>
            </w:pPr>
            <w:hyperlink r:id="rId137">
              <w:r>
                <w:rPr>
                  <w:rFonts w:ascii="Arial" w:cs="Arial" w:eastAsia="Arial" w:hAnsi="Arial"/>
                  <w:sz w:val="17"/>
                  <w:szCs w:val="17"/>
                  <w:color w:val="0000FF"/>
                  <w:w w:val="96"/>
                </w:rPr>
                <w:t>Form of Indemnification Agreement incorporated herein by reference to Exhibit 10.1 to the Registrant’s Current Report on Form 8-K filed on</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1"/>
          </w:tcPr>
          <w:p>
            <w:pPr>
              <w:spacing w:after="0" w:line="148" w:lineRule="exact"/>
              <w:rPr>
                <w:rFonts w:ascii="Arial" w:cs="Arial" w:eastAsia="Arial" w:hAnsi="Arial"/>
                <w:sz w:val="17"/>
                <w:szCs w:val="17"/>
                <w:color w:val="0000FF"/>
              </w:rPr>
            </w:pPr>
            <w:hyperlink r:id="rId137">
              <w:r>
                <w:rPr>
                  <w:rFonts w:ascii="Arial" w:cs="Arial" w:eastAsia="Arial" w:hAnsi="Arial"/>
                  <w:sz w:val="17"/>
                  <w:szCs w:val="17"/>
                  <w:color w:val="0000FF"/>
                </w:rPr>
                <w:t>October 17,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5"/>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3"/>
              </w:rPr>
            </w:pPr>
            <w:hyperlink r:id="rId138">
              <w:r>
                <w:rPr>
                  <w:rFonts w:ascii="Arial" w:cs="Arial" w:eastAsia="Arial" w:hAnsi="Arial"/>
                  <w:sz w:val="17"/>
                  <w:szCs w:val="17"/>
                  <w:color w:val="0000FF"/>
                  <w:w w:val="93"/>
                </w:rPr>
                <w:t>Landec Corporation Nonqualified Deferred Compensation Plan, incorporated herein by reference to the Registrant’s Annual Report on Form 10-</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Borders>
              <w:top w:val="single" w:sz="8" w:color="0000FF"/>
              <w:bottom w:val="single" w:sz="8" w:color="0000FF"/>
            </w:tcBorders>
            <w:gridSpan w:val="8"/>
          </w:tcPr>
          <w:p>
            <w:pPr>
              <w:spacing w:after="0" w:line="148" w:lineRule="exact"/>
              <w:rPr>
                <w:rFonts w:ascii="Arial" w:cs="Arial" w:eastAsia="Arial" w:hAnsi="Arial"/>
                <w:sz w:val="17"/>
                <w:szCs w:val="17"/>
                <w:color w:val="0000FF"/>
                <w:w w:val="95"/>
              </w:rPr>
            </w:pPr>
            <w:hyperlink r:id="rId138">
              <w:r>
                <w:rPr>
                  <w:rFonts w:ascii="Arial" w:cs="Arial" w:eastAsia="Arial" w:hAnsi="Arial"/>
                  <w:sz w:val="17"/>
                  <w:szCs w:val="17"/>
                  <w:color w:val="0000FF"/>
                  <w:w w:val="95"/>
                </w:rPr>
                <w:t xml:space="preserve">K </w:t>
              </w:r>
            </w:hyperlink>
            <w:hyperlink r:id="rId137">
              <w:r>
                <w:rPr>
                  <w:rFonts w:ascii="Arial" w:cs="Arial" w:eastAsia="Arial" w:hAnsi="Arial"/>
                  <w:sz w:val="17"/>
                  <w:szCs w:val="17"/>
                  <w:color w:val="0000FF"/>
                  <w:w w:val="95"/>
                </w:rPr>
                <w:t xml:space="preserve">filed on </w:t>
              </w:r>
            </w:hyperlink>
            <w:hyperlink r:id="rId138">
              <w:r>
                <w:rPr>
                  <w:rFonts w:ascii="Arial" w:cs="Arial" w:eastAsia="Arial" w:hAnsi="Arial"/>
                  <w:sz w:val="17"/>
                  <w:szCs w:val="17"/>
                  <w:color w:val="0000FF"/>
                  <w:w w:val="95"/>
                </w:rPr>
                <w:t>August 7, 2013.</w:t>
              </w:r>
            </w:hyperlink>
          </w:p>
        </w:tc>
        <w:tc>
          <w:tcPr>
            <w:tcW w:w="822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5"/>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4"/>
              </w:rPr>
            </w:pPr>
            <w:hyperlink r:id="rId139">
              <w:r>
                <w:rPr>
                  <w:rFonts w:ascii="Arial" w:cs="Arial" w:eastAsia="Arial" w:hAnsi="Arial"/>
                  <w:sz w:val="17"/>
                  <w:szCs w:val="17"/>
                  <w:color w:val="0000FF"/>
                  <w:w w:val="94"/>
                </w:rPr>
                <w:t>Landec Corporation 2013 Stock Incentive Plan, incorporated herein by reference to Exhibit 99.1 to the Registrant's Current Report on Form 8-K</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6"/>
          </w:tcPr>
          <w:p>
            <w:pPr>
              <w:spacing w:after="0" w:line="148" w:lineRule="exact"/>
              <w:rPr>
                <w:rFonts w:ascii="Arial" w:cs="Arial" w:eastAsia="Arial" w:hAnsi="Arial"/>
                <w:sz w:val="17"/>
                <w:szCs w:val="17"/>
                <w:color w:val="0000FF"/>
              </w:rPr>
            </w:pPr>
            <w:hyperlink r:id="rId137">
              <w:r>
                <w:rPr>
                  <w:rFonts w:ascii="Arial" w:cs="Arial" w:eastAsia="Arial" w:hAnsi="Arial"/>
                  <w:sz w:val="17"/>
                  <w:szCs w:val="17"/>
                  <w:color w:val="0000FF"/>
                </w:rPr>
                <w:t xml:space="preserve">filed on </w:t>
              </w:r>
            </w:hyperlink>
            <w:hyperlink r:id="rId139">
              <w:r>
                <w:rPr>
                  <w:rFonts w:ascii="Arial" w:cs="Arial" w:eastAsia="Arial" w:hAnsi="Arial"/>
                  <w:sz w:val="17"/>
                  <w:szCs w:val="17"/>
                  <w:color w:val="0000FF"/>
                </w:rPr>
                <w:t>October 11, 2013.</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5"/>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7"/>
              </w:rPr>
            </w:pPr>
            <w:hyperlink r:id="rId140">
              <w:r>
                <w:rPr>
                  <w:rFonts w:ascii="Arial" w:cs="Arial" w:eastAsia="Arial" w:hAnsi="Arial"/>
                  <w:sz w:val="17"/>
                  <w:szCs w:val="17"/>
                  <w:color w:val="0000FF"/>
                  <w:w w:val="97"/>
                </w:rPr>
                <w:t>First Amendment to the Landec Corporation 2013 Stock Incentive Plan, incorporated herein by reference to Exhibit 99.1 to the Registrant’s</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w w:val="92"/>
              </w:rPr>
            </w:pPr>
            <w:hyperlink r:id="rId140">
              <w:r>
                <w:rPr>
                  <w:rFonts w:ascii="Arial" w:cs="Arial" w:eastAsia="Arial" w:hAnsi="Arial"/>
                  <w:sz w:val="17"/>
                  <w:szCs w:val="17"/>
                  <w:color w:val="0000FF"/>
                  <w:w w:val="92"/>
                </w:rPr>
                <w:t xml:space="preserve">Current Report on Form 8-K </w:t>
              </w:r>
            </w:hyperlink>
            <w:hyperlink r:id="rId137">
              <w:r>
                <w:rPr>
                  <w:rFonts w:ascii="Arial" w:cs="Arial" w:eastAsia="Arial" w:hAnsi="Arial"/>
                  <w:sz w:val="17"/>
                  <w:szCs w:val="17"/>
                  <w:color w:val="0000FF"/>
                  <w:w w:val="92"/>
                </w:rPr>
                <w:t xml:space="preserve">filed on </w:t>
              </w:r>
            </w:hyperlink>
            <w:hyperlink r:id="rId140">
              <w:r>
                <w:rPr>
                  <w:rFonts w:ascii="Arial" w:cs="Arial" w:eastAsia="Arial" w:hAnsi="Arial"/>
                  <w:sz w:val="17"/>
                  <w:szCs w:val="17"/>
                  <w:color w:val="0000FF"/>
                  <w:w w:val="92"/>
                </w:rPr>
                <w:t>October 23, 2017.</w:t>
              </w:r>
            </w:hyperlink>
          </w:p>
        </w:tc>
        <w:tc>
          <w:tcPr>
            <w:tcW w:w="630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5"/>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5"/>
              </w:rPr>
            </w:pPr>
            <w:hyperlink r:id="rId139">
              <w:r>
                <w:rPr>
                  <w:rFonts w:ascii="Arial" w:cs="Arial" w:eastAsia="Arial" w:hAnsi="Arial"/>
                  <w:sz w:val="17"/>
                  <w:szCs w:val="17"/>
                  <w:color w:val="0000FF"/>
                  <w:w w:val="95"/>
                </w:rPr>
                <w:t>Form of Stock Grant Agreement for the Landec Corporation 2013 Stock Incentive Plan, incorporated herein by reference to Exhibit 99.1 to the</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tcBorders>
              <w:top w:val="single" w:sz="8" w:color="0000FF"/>
              <w:bottom w:val="single" w:sz="8" w:color="0000FF"/>
            </w:tcBorders>
            <w:gridSpan w:val="11"/>
          </w:tcPr>
          <w:p>
            <w:pPr>
              <w:spacing w:after="0" w:line="148" w:lineRule="exact"/>
              <w:rPr>
                <w:rFonts w:ascii="Arial" w:cs="Arial" w:eastAsia="Arial" w:hAnsi="Arial"/>
                <w:sz w:val="17"/>
                <w:szCs w:val="17"/>
                <w:color w:val="0000FF"/>
                <w:w w:val="92"/>
              </w:rPr>
            </w:pPr>
            <w:hyperlink r:id="rId139">
              <w:r>
                <w:rPr>
                  <w:rFonts w:ascii="Arial" w:cs="Arial" w:eastAsia="Arial" w:hAnsi="Arial"/>
                  <w:sz w:val="17"/>
                  <w:szCs w:val="17"/>
                  <w:color w:val="0000FF"/>
                  <w:w w:val="92"/>
                </w:rPr>
                <w:t xml:space="preserve">Registrant's Current Report on Form 8-K </w:t>
              </w:r>
            </w:hyperlink>
            <w:hyperlink r:id="rId137">
              <w:r>
                <w:rPr>
                  <w:rFonts w:ascii="Arial" w:cs="Arial" w:eastAsia="Arial" w:hAnsi="Arial"/>
                  <w:sz w:val="17"/>
                  <w:szCs w:val="17"/>
                  <w:color w:val="0000FF"/>
                  <w:w w:val="92"/>
                </w:rPr>
                <w:t xml:space="preserve">filed on </w:t>
              </w:r>
            </w:hyperlink>
            <w:hyperlink r:id="rId139">
              <w:r>
                <w:rPr>
                  <w:rFonts w:ascii="Arial" w:cs="Arial" w:eastAsia="Arial" w:hAnsi="Arial"/>
                  <w:sz w:val="17"/>
                  <w:szCs w:val="17"/>
                  <w:color w:val="0000FF"/>
                  <w:w w:val="92"/>
                </w:rPr>
                <w:t>October 11, 2013.</w:t>
              </w:r>
            </w:hyperlink>
          </w:p>
        </w:tc>
        <w:tc>
          <w:tcPr>
            <w:tcW w:w="5380" w:type="dxa"/>
            <w:vAlign w:val="bottom"/>
            <w:tcBorders>
              <w:top w:val="single" w:sz="8" w:color="0000FF"/>
            </w:tcBorders>
            <w:gridSpan w:val="13"/>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5"/>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5"/>
              </w:rPr>
            </w:pPr>
            <w:hyperlink r:id="rId139">
              <w:r>
                <w:rPr>
                  <w:rFonts w:ascii="Arial" w:cs="Arial" w:eastAsia="Arial" w:hAnsi="Arial"/>
                  <w:sz w:val="17"/>
                  <w:szCs w:val="17"/>
                  <w:color w:val="0000FF"/>
                  <w:w w:val="95"/>
                </w:rPr>
                <w:t>Form of Notice of Stock Option Grant and Stock Option Agreement for the Landec Corporation 2013 Stock Incentive Plan, incorporated herein</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80" w:type="dxa"/>
            <w:vAlign w:val="bottom"/>
            <w:tcBorders>
              <w:top w:val="single" w:sz="8" w:color="0000FF"/>
              <w:bottom w:val="single" w:sz="8" w:color="0000FF"/>
            </w:tcBorders>
            <w:gridSpan w:val="14"/>
          </w:tcPr>
          <w:p>
            <w:pPr>
              <w:spacing w:after="0" w:line="148" w:lineRule="exact"/>
              <w:rPr>
                <w:rFonts w:ascii="Arial" w:cs="Arial" w:eastAsia="Arial" w:hAnsi="Arial"/>
                <w:sz w:val="17"/>
                <w:szCs w:val="17"/>
                <w:color w:val="0000FF"/>
                <w:w w:val="92"/>
              </w:rPr>
            </w:pPr>
            <w:hyperlink r:id="rId139">
              <w:r>
                <w:rPr>
                  <w:rFonts w:ascii="Arial" w:cs="Arial" w:eastAsia="Arial" w:hAnsi="Arial"/>
                  <w:sz w:val="17"/>
                  <w:szCs w:val="17"/>
                  <w:color w:val="0000FF"/>
                  <w:w w:val="92"/>
                </w:rPr>
                <w:t xml:space="preserve">by reference to Exhibit 99.1 to the Registrant's Current Report on Form 8-K </w:t>
              </w:r>
            </w:hyperlink>
            <w:hyperlink r:id="rId137">
              <w:r>
                <w:rPr>
                  <w:rFonts w:ascii="Arial" w:cs="Arial" w:eastAsia="Arial" w:hAnsi="Arial"/>
                  <w:sz w:val="17"/>
                  <w:szCs w:val="17"/>
                  <w:color w:val="0000FF"/>
                  <w:w w:val="92"/>
                </w:rPr>
                <w:t xml:space="preserve">filed on </w:t>
              </w:r>
            </w:hyperlink>
            <w:hyperlink r:id="rId139">
              <w:r>
                <w:rPr>
                  <w:rFonts w:ascii="Arial" w:cs="Arial" w:eastAsia="Arial" w:hAnsi="Arial"/>
                  <w:sz w:val="17"/>
                  <w:szCs w:val="17"/>
                  <w:color w:val="0000FF"/>
                  <w:w w:val="92"/>
                </w:rPr>
                <w:t>October 11, 2013.</w:t>
              </w:r>
            </w:hyperlink>
          </w:p>
        </w:tc>
        <w:tc>
          <w:tcPr>
            <w:tcW w:w="294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5"/>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6"/>
              </w:rPr>
            </w:pPr>
            <w:hyperlink r:id="rId139">
              <w:r>
                <w:rPr>
                  <w:rFonts w:ascii="Arial" w:cs="Arial" w:eastAsia="Arial" w:hAnsi="Arial"/>
                  <w:sz w:val="17"/>
                  <w:szCs w:val="17"/>
                  <w:color w:val="0000FF"/>
                  <w:w w:val="96"/>
                </w:rPr>
                <w:t>Form of Stock Unit Agreement for the Landec Corporation 2013 Stock Incentive Plan, incorporated herein by reference to Exhibit 99.1 to the</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tcBorders>
              <w:top w:val="single" w:sz="8" w:color="0000FF"/>
              <w:bottom w:val="single" w:sz="8" w:color="0000FF"/>
            </w:tcBorders>
            <w:gridSpan w:val="11"/>
          </w:tcPr>
          <w:p>
            <w:pPr>
              <w:spacing w:after="0" w:line="148" w:lineRule="exact"/>
              <w:rPr>
                <w:rFonts w:ascii="Arial" w:cs="Arial" w:eastAsia="Arial" w:hAnsi="Arial"/>
                <w:sz w:val="17"/>
                <w:szCs w:val="17"/>
                <w:color w:val="0000FF"/>
                <w:w w:val="92"/>
              </w:rPr>
            </w:pPr>
            <w:hyperlink r:id="rId139">
              <w:r>
                <w:rPr>
                  <w:rFonts w:ascii="Arial" w:cs="Arial" w:eastAsia="Arial" w:hAnsi="Arial"/>
                  <w:sz w:val="17"/>
                  <w:szCs w:val="17"/>
                  <w:color w:val="0000FF"/>
                  <w:w w:val="92"/>
                </w:rPr>
                <w:t xml:space="preserve">Registrant's Current Report on Form 8-K </w:t>
              </w:r>
            </w:hyperlink>
            <w:hyperlink r:id="rId137">
              <w:r>
                <w:rPr>
                  <w:rFonts w:ascii="Arial" w:cs="Arial" w:eastAsia="Arial" w:hAnsi="Arial"/>
                  <w:sz w:val="17"/>
                  <w:szCs w:val="17"/>
                  <w:color w:val="0000FF"/>
                  <w:w w:val="92"/>
                </w:rPr>
                <w:t xml:space="preserve">filed on </w:t>
              </w:r>
            </w:hyperlink>
            <w:hyperlink r:id="rId139">
              <w:r>
                <w:rPr>
                  <w:rFonts w:ascii="Arial" w:cs="Arial" w:eastAsia="Arial" w:hAnsi="Arial"/>
                  <w:sz w:val="17"/>
                  <w:szCs w:val="17"/>
                  <w:color w:val="0000FF"/>
                  <w:w w:val="92"/>
                </w:rPr>
                <w:t>October 11, 2013.</w:t>
              </w:r>
            </w:hyperlink>
          </w:p>
        </w:tc>
        <w:tc>
          <w:tcPr>
            <w:tcW w:w="5300" w:type="dxa"/>
            <w:vAlign w:val="bottom"/>
            <w:tcBorders>
              <w:top w:val="single" w:sz="8" w:color="0000FF"/>
            </w:tcBorders>
            <w:gridSpan w:val="9"/>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5"/>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4"/>
              </w:rPr>
            </w:pPr>
            <w:hyperlink r:id="rId139">
              <w:r>
                <w:rPr>
                  <w:rFonts w:ascii="Arial" w:cs="Arial" w:eastAsia="Arial" w:hAnsi="Arial"/>
                  <w:sz w:val="17"/>
                  <w:szCs w:val="17"/>
                  <w:color w:val="0000FF"/>
                  <w:w w:val="94"/>
                </w:rPr>
                <w:t>Form of Notice of Grant of Stock Appreciation Right and Stock Appreciation Right Agreement for the Landec Corporation 2013 Stock Incentive</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27"/>
          </w:tcPr>
          <w:p>
            <w:pPr>
              <w:spacing w:after="0" w:line="148" w:lineRule="exact"/>
              <w:rPr>
                <w:rFonts w:ascii="Arial" w:cs="Arial" w:eastAsia="Arial" w:hAnsi="Arial"/>
                <w:sz w:val="17"/>
                <w:szCs w:val="17"/>
                <w:color w:val="0000FF"/>
              </w:rPr>
            </w:pPr>
            <w:hyperlink r:id="rId139">
              <w:r>
                <w:rPr>
                  <w:rFonts w:ascii="Arial" w:cs="Arial" w:eastAsia="Arial" w:hAnsi="Arial"/>
                  <w:sz w:val="17"/>
                  <w:szCs w:val="17"/>
                  <w:color w:val="0000FF"/>
                </w:rPr>
                <w:t xml:space="preserve">Plan, incorporated herein by reference to Exhibit 99.1 to the Registrant's Current Report on Form 8-K </w:t>
              </w:r>
            </w:hyperlink>
            <w:hyperlink r:id="rId137">
              <w:r>
                <w:rPr>
                  <w:rFonts w:ascii="Arial" w:cs="Arial" w:eastAsia="Arial" w:hAnsi="Arial"/>
                  <w:sz w:val="17"/>
                  <w:szCs w:val="17"/>
                  <w:color w:val="0000FF"/>
                </w:rPr>
                <w:t xml:space="preserve">filed on </w:t>
              </w:r>
            </w:hyperlink>
            <w:hyperlink r:id="rId139">
              <w:r>
                <w:rPr>
                  <w:rFonts w:ascii="Arial" w:cs="Arial" w:eastAsia="Arial" w:hAnsi="Arial"/>
                  <w:sz w:val="17"/>
                  <w:szCs w:val="17"/>
                  <w:color w:val="0000FF"/>
                </w:rPr>
                <w:t>October 11, 2013.</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center"/>
              <w:ind w:right="114"/>
              <w:spacing w:after="0"/>
              <w:rPr>
                <w:sz w:val="20"/>
                <w:szCs w:val="20"/>
                <w:color w:val="auto"/>
              </w:rPr>
            </w:pPr>
            <w:r>
              <w:rPr>
                <w:rFonts w:ascii="Arial" w:cs="Arial" w:eastAsia="Arial" w:hAnsi="Arial"/>
                <w:sz w:val="17"/>
                <w:szCs w:val="17"/>
                <w:color w:val="auto"/>
                <w:w w:val="95"/>
              </w:rPr>
              <w:t>10.9*</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740" w:type="dxa"/>
            <w:vAlign w:val="bottom"/>
            <w:gridSpan w:val="11"/>
            <w:shd w:val="clear" w:color="auto" w:fill="0000FF"/>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4"/>
              </w:rPr>
            </w:pPr>
            <w:hyperlink r:id="rId141">
              <w:r>
                <w:rPr>
                  <w:rFonts w:ascii="Arial" w:cs="Arial" w:eastAsia="Arial" w:hAnsi="Arial"/>
                  <w:sz w:val="17"/>
                  <w:szCs w:val="17"/>
                  <w:color w:val="0000FF"/>
                  <w:w w:val="94"/>
                </w:rPr>
                <w:t>Landec Corporation 2019 Stock Incentive Plan, including the forms of awards attached thereto, incorporated herein by reference to Exhibit 99.1</w:t>
              </w:r>
            </w:hyperlink>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20" w:type="dxa"/>
            <w:vAlign w:val="bottom"/>
            <w:tcBorders>
              <w:top w:val="single" w:sz="8" w:color="0000FF"/>
              <w:bottom w:val="single" w:sz="8" w:color="0000FF"/>
            </w:tcBorders>
            <w:gridSpan w:val="12"/>
          </w:tcPr>
          <w:p>
            <w:pPr>
              <w:spacing w:after="0" w:line="173" w:lineRule="exact"/>
              <w:rPr>
                <w:rFonts w:ascii="Arial" w:cs="Arial" w:eastAsia="Arial" w:hAnsi="Arial"/>
                <w:sz w:val="17"/>
                <w:szCs w:val="17"/>
                <w:color w:val="0000FF"/>
                <w:w w:val="92"/>
              </w:rPr>
            </w:pPr>
            <w:hyperlink r:id="rId141">
              <w:r>
                <w:rPr>
                  <w:rFonts w:ascii="Arial" w:cs="Arial" w:eastAsia="Arial" w:hAnsi="Arial"/>
                  <w:sz w:val="17"/>
                  <w:szCs w:val="17"/>
                  <w:color w:val="0000FF"/>
                  <w:w w:val="92"/>
                </w:rPr>
                <w:t xml:space="preserve">to the Registrant's Current Report on Form 8-K </w:t>
              </w:r>
            </w:hyperlink>
            <w:hyperlink r:id="rId137">
              <w:r>
                <w:rPr>
                  <w:rFonts w:ascii="Arial" w:cs="Arial" w:eastAsia="Arial" w:hAnsi="Arial"/>
                  <w:sz w:val="17"/>
                  <w:szCs w:val="17"/>
                  <w:color w:val="0000FF"/>
                  <w:w w:val="92"/>
                </w:rPr>
                <w:t xml:space="preserve">filed on </w:t>
              </w:r>
            </w:hyperlink>
            <w:hyperlink r:id="rId141">
              <w:r>
                <w:rPr>
                  <w:rFonts w:ascii="Arial" w:cs="Arial" w:eastAsia="Arial" w:hAnsi="Arial"/>
                  <w:sz w:val="17"/>
                  <w:szCs w:val="17"/>
                  <w:color w:val="0000FF"/>
                  <w:w w:val="92"/>
                </w:rPr>
                <w:t>October 21, 2019.</w:t>
              </w:r>
            </w:hyperlink>
          </w:p>
        </w:tc>
        <w:tc>
          <w:tcPr>
            <w:tcW w:w="4780" w:type="dxa"/>
            <w:vAlign w:val="bottom"/>
            <w:tcBorders>
              <w:top w:val="single" w:sz="8" w:color="0000FF"/>
            </w:tcBorders>
            <w:gridSpan w:val="7"/>
          </w:tcPr>
          <w:p>
            <w:pPr>
              <w:spacing w:after="0"/>
              <w:rPr>
                <w:sz w:val="15"/>
                <w:szCs w:val="15"/>
                <w:color w:val="auto"/>
              </w:rPr>
            </w:pPr>
          </w:p>
        </w:tc>
        <w:tc>
          <w:tcPr>
            <w:tcW w:w="2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29"/>
          </w:tcPr>
          <w:p>
            <w:pPr>
              <w:spacing w:after="0" w:line="186" w:lineRule="exact"/>
              <w:rPr>
                <w:rFonts w:ascii="Arial" w:cs="Arial" w:eastAsia="Arial" w:hAnsi="Arial"/>
                <w:sz w:val="17"/>
                <w:szCs w:val="17"/>
                <w:color w:val="0000FF"/>
                <w:w w:val="95"/>
              </w:rPr>
            </w:pPr>
            <w:hyperlink r:id="rId141">
              <w:r>
                <w:rPr>
                  <w:rFonts w:ascii="Arial" w:cs="Arial" w:eastAsia="Arial" w:hAnsi="Arial"/>
                  <w:sz w:val="17"/>
                  <w:szCs w:val="17"/>
                  <w:color w:val="0000FF"/>
                  <w:w w:val="95"/>
                </w:rPr>
                <w:t>2019 Stock Incentive Plan, incorporated herein by reference to Exhibit 99.1 to the Registrant's Current Report on Form 8-K dated October 21,</w:t>
              </w:r>
            </w:hyperlink>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73" w:lineRule="exact"/>
              <w:rPr>
                <w:rFonts w:ascii="Arial" w:cs="Arial" w:eastAsia="Arial" w:hAnsi="Arial"/>
                <w:sz w:val="17"/>
                <w:szCs w:val="17"/>
                <w:color w:val="0000FF"/>
                <w:w w:val="84"/>
              </w:rPr>
            </w:pPr>
            <w:hyperlink r:id="rId141">
              <w:r>
                <w:rPr>
                  <w:rFonts w:ascii="Arial" w:cs="Arial" w:eastAsia="Arial" w:hAnsi="Arial"/>
                  <w:sz w:val="17"/>
                  <w:szCs w:val="17"/>
                  <w:color w:val="0000FF"/>
                  <w:w w:val="84"/>
                </w:rPr>
                <w:t>2019.</w:t>
              </w:r>
            </w:hyperlink>
          </w:p>
        </w:tc>
        <w:tc>
          <w:tcPr>
            <w:tcW w:w="8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6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8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7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3"/>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7"/>
                <w:szCs w:val="17"/>
                <w:color w:val="0000FF"/>
                <w:w w:val="95"/>
              </w:rPr>
            </w:pPr>
            <w:hyperlink r:id="rId142">
              <w:r>
                <w:rPr>
                  <w:rFonts w:ascii="Arial" w:cs="Arial" w:eastAsia="Arial" w:hAnsi="Arial"/>
                  <w:sz w:val="17"/>
                  <w:szCs w:val="17"/>
                  <w:color w:val="0000FF"/>
                  <w:w w:val="95"/>
                </w:rPr>
                <w:t>Long-Term Incentive Plan for Fiscal Year 2020, incorporated herein by reference to Registrant’s Current Report on Form 8-K filed on July 24,</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84"/>
              </w:rPr>
            </w:pPr>
            <w:hyperlink r:id="rId142">
              <w:r>
                <w:rPr>
                  <w:rFonts w:ascii="Arial" w:cs="Arial" w:eastAsia="Arial" w:hAnsi="Arial"/>
                  <w:sz w:val="17"/>
                  <w:szCs w:val="17"/>
                  <w:color w:val="0000FF"/>
                  <w:w w:val="84"/>
                </w:rPr>
                <w:t>2017.</w:t>
              </w:r>
            </w:hyperlink>
          </w:p>
        </w:tc>
        <w:tc>
          <w:tcPr>
            <w:tcW w:w="8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6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7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220" w:top="29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1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81915</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220" w:top="295" w:right="639" w:bottom="1440" w:gutter="0" w:footer="0" w:header="0"/>
          <w:type w:val="continuous"/>
        </w:sectPr>
      </w:pPr>
    </w:p>
    <w:bookmarkStart w:id="108" w:name="page109"/>
    <w:bookmarkEnd w:id="108"/>
    <w:p>
      <w:pPr>
        <w:ind w:left="7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5"/>
              </w:rPr>
              <w:t>Exhibit</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10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80" w:type="dxa"/>
            <w:vAlign w:val="bottom"/>
            <w:gridSpan w:val="28"/>
          </w:tcPr>
          <w:p>
            <w:pPr>
              <w:ind w:left="80"/>
              <w:spacing w:after="0"/>
              <w:rPr>
                <w:sz w:val="20"/>
                <w:szCs w:val="20"/>
                <w:color w:val="auto"/>
              </w:rPr>
            </w:pPr>
            <w:r>
              <w:rPr>
                <w:rFonts w:ascii="Arial" w:cs="Arial" w:eastAsia="Arial" w:hAnsi="Arial"/>
                <w:sz w:val="17"/>
                <w:szCs w:val="17"/>
                <w:b w:val="1"/>
                <w:bCs w:val="1"/>
                <w:color w:val="auto"/>
              </w:rPr>
              <w:t>Exhibit Title</w:t>
            </w:r>
          </w:p>
        </w:tc>
      </w:tr>
      <w:tr>
        <w:trPr>
          <w:trHeight w:val="174"/>
        </w:trPr>
        <w:tc>
          <w:tcPr>
            <w:tcW w:w="900" w:type="dxa"/>
            <w:vAlign w:val="bottom"/>
            <w:tcBorders>
              <w:top w:val="single" w:sz="8" w:color="auto"/>
            </w:tcBorders>
          </w:tcPr>
          <w:p>
            <w:pPr>
              <w:jc w:val="center"/>
              <w:ind w:right="114"/>
              <w:spacing w:after="0" w:line="174" w:lineRule="exact"/>
              <w:rPr>
                <w:sz w:val="20"/>
                <w:szCs w:val="20"/>
                <w:color w:val="auto"/>
              </w:rPr>
            </w:pPr>
            <w:r>
              <w:rPr>
                <w:rFonts w:ascii="Arial" w:cs="Arial" w:eastAsia="Arial" w:hAnsi="Arial"/>
                <w:sz w:val="17"/>
                <w:szCs w:val="17"/>
                <w:color w:val="auto"/>
                <w:w w:val="93"/>
              </w:rPr>
              <w:t>10.11*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40" w:type="dxa"/>
            <w:vAlign w:val="bottom"/>
            <w:tcBorders>
              <w:top w:val="single" w:sz="8" w:color="auto"/>
            </w:tcBorders>
            <w:gridSpan w:val="32"/>
          </w:tcPr>
          <w:p>
            <w:pPr>
              <w:spacing w:after="0" w:line="174" w:lineRule="exact"/>
              <w:rPr>
                <w:rFonts w:ascii="Arial" w:cs="Arial" w:eastAsia="Arial" w:hAnsi="Arial"/>
                <w:sz w:val="17"/>
                <w:szCs w:val="17"/>
                <w:color w:val="0000FF"/>
                <w:w w:val="95"/>
              </w:rPr>
            </w:pPr>
            <w:hyperlink r:id="rId144">
              <w:r>
                <w:rPr>
                  <w:rFonts w:ascii="Arial" w:cs="Arial" w:eastAsia="Arial" w:hAnsi="Arial"/>
                  <w:sz w:val="17"/>
                  <w:szCs w:val="17"/>
                  <w:color w:val="0000FF"/>
                  <w:w w:val="95"/>
                </w:rPr>
                <w:t>Long-Term Incentive Plan for Fiscal Year 2021, incorporated herein by reference to the Registrant’s Current Report on Form 8-K filed on July</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87"/>
              </w:rPr>
            </w:pPr>
            <w:hyperlink r:id="rId144">
              <w:r>
                <w:rPr>
                  <w:rFonts w:ascii="Arial" w:cs="Arial" w:eastAsia="Arial" w:hAnsi="Arial"/>
                  <w:sz w:val="17"/>
                  <w:szCs w:val="17"/>
                  <w:color w:val="0000FF"/>
                  <w:w w:val="87"/>
                </w:rPr>
                <w:t>30, 2018.</w:t>
              </w:r>
            </w:hyperlink>
          </w:p>
        </w:tc>
        <w:tc>
          <w:tcPr>
            <w:tcW w:w="238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89"/>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2"/>
          </w:tcPr>
          <w:p>
            <w:pPr>
              <w:spacing w:after="0"/>
              <w:rPr>
                <w:rFonts w:ascii="Arial" w:cs="Arial" w:eastAsia="Arial" w:hAnsi="Arial"/>
                <w:sz w:val="17"/>
                <w:szCs w:val="17"/>
                <w:color w:val="0000FF"/>
                <w:w w:val="95"/>
              </w:rPr>
            </w:pPr>
            <w:hyperlink r:id="rId145">
              <w:r>
                <w:rPr>
                  <w:rFonts w:ascii="Arial" w:cs="Arial" w:eastAsia="Arial" w:hAnsi="Arial"/>
                  <w:sz w:val="17"/>
                  <w:szCs w:val="17"/>
                  <w:color w:val="0000FF"/>
                  <w:w w:val="95"/>
                </w:rPr>
                <w:t>Settlement Agreement amongst the Registrant, Apio, Inc., Rancho Harvest, Inc. and Pacific Harvest, Inc. and the plaintiffs named therein and</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29"/>
          </w:tcPr>
          <w:p>
            <w:pPr>
              <w:spacing w:after="0" w:line="148" w:lineRule="exact"/>
              <w:rPr>
                <w:rFonts w:ascii="Arial" w:cs="Arial" w:eastAsia="Arial" w:hAnsi="Arial"/>
                <w:sz w:val="17"/>
                <w:szCs w:val="17"/>
                <w:color w:val="0000FF"/>
                <w:w w:val="92"/>
              </w:rPr>
            </w:pPr>
            <w:hyperlink r:id="rId145">
              <w:r>
                <w:rPr>
                  <w:rFonts w:ascii="Arial" w:cs="Arial" w:eastAsia="Arial" w:hAnsi="Arial"/>
                  <w:sz w:val="17"/>
                  <w:szCs w:val="17"/>
                  <w:color w:val="0000FF"/>
                  <w:w w:val="92"/>
                </w:rPr>
                <w:t>Addendum to the Settlement Agreement effective as of May 5, 2017, incorporated herein by reference to Exhibit 10.1 to the Registrant’s Current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8" w:lineRule="exact"/>
              <w:rPr>
                <w:rFonts w:ascii="Arial" w:cs="Arial" w:eastAsia="Arial" w:hAnsi="Arial"/>
                <w:sz w:val="17"/>
                <w:szCs w:val="17"/>
                <w:color w:val="0000FF"/>
              </w:rPr>
            </w:pPr>
            <w:hyperlink r:id="rId145">
              <w:r>
                <w:rPr>
                  <w:rFonts w:ascii="Arial" w:cs="Arial" w:eastAsia="Arial" w:hAnsi="Arial"/>
                  <w:sz w:val="17"/>
                  <w:szCs w:val="17"/>
                  <w:color w:val="0000FF"/>
                </w:rPr>
                <w:t xml:space="preserve">Report on Form 8-K </w:t>
              </w:r>
            </w:hyperlink>
            <w:hyperlink r:id="rId137">
              <w:r>
                <w:rPr>
                  <w:rFonts w:ascii="Arial" w:cs="Arial" w:eastAsia="Arial" w:hAnsi="Arial"/>
                  <w:sz w:val="17"/>
                  <w:szCs w:val="17"/>
                  <w:color w:val="0000FF"/>
                </w:rPr>
                <w:t xml:space="preserve">filed on </w:t>
              </w:r>
            </w:hyperlink>
            <w:hyperlink r:id="rId145">
              <w:r>
                <w:rPr>
                  <w:rFonts w:ascii="Arial" w:cs="Arial" w:eastAsia="Arial" w:hAnsi="Arial"/>
                  <w:sz w:val="17"/>
                  <w:szCs w:val="17"/>
                  <w:color w:val="0000FF"/>
                </w:rPr>
                <w:t>May 10,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89"/>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2"/>
          </w:tcPr>
          <w:p>
            <w:pPr>
              <w:spacing w:after="0"/>
              <w:rPr>
                <w:rFonts w:ascii="Arial" w:cs="Arial" w:eastAsia="Arial" w:hAnsi="Arial"/>
                <w:sz w:val="17"/>
                <w:szCs w:val="17"/>
                <w:color w:val="0000FF"/>
                <w:w w:val="96"/>
              </w:rPr>
            </w:pPr>
            <w:hyperlink r:id="rId146">
              <w:r>
                <w:rPr>
                  <w:rFonts w:ascii="Arial" w:cs="Arial" w:eastAsia="Arial" w:hAnsi="Arial"/>
                  <w:sz w:val="17"/>
                  <w:szCs w:val="17"/>
                  <w:color w:val="0000FF"/>
                  <w:w w:val="96"/>
                </w:rPr>
                <w:t>Purchase Agreement dated as of April 26, 2018, by and between Apio, Inc. Michael R. Mills, San Ysidro Farms, Inc., B&amp;D Farms, Mahoney</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6"/>
          </w:tcPr>
          <w:p>
            <w:pPr>
              <w:spacing w:after="0" w:line="148" w:lineRule="exact"/>
              <w:rPr>
                <w:rFonts w:ascii="Arial" w:cs="Arial" w:eastAsia="Arial" w:hAnsi="Arial"/>
                <w:sz w:val="17"/>
                <w:szCs w:val="17"/>
                <w:color w:val="0000FF"/>
                <w:w w:val="93"/>
              </w:rPr>
            </w:pPr>
            <w:hyperlink r:id="rId146">
              <w:r>
                <w:rPr>
                  <w:rFonts w:ascii="Arial" w:cs="Arial" w:eastAsia="Arial" w:hAnsi="Arial"/>
                  <w:sz w:val="17"/>
                  <w:szCs w:val="17"/>
                  <w:color w:val="0000FF"/>
                  <w:w w:val="93"/>
                </w:rPr>
                <w:t>Brothers, and RCM Farms, LLC, incorporated herein by reference to Exhibit 2.1 to the Registrant’s Current Report on Form 8-K filed on May 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84"/>
              </w:rPr>
            </w:pPr>
            <w:hyperlink r:id="rId146">
              <w:r>
                <w:rPr>
                  <w:rFonts w:ascii="Arial" w:cs="Arial" w:eastAsia="Arial" w:hAnsi="Arial"/>
                  <w:sz w:val="17"/>
                  <w:szCs w:val="17"/>
                  <w:color w:val="0000FF"/>
                  <w:w w:val="84"/>
                </w:rPr>
                <w:t>2018.</w:t>
              </w:r>
            </w:hyperlink>
          </w:p>
        </w:tc>
        <w:tc>
          <w:tcPr>
            <w:tcW w:w="260" w:type="dxa"/>
            <w:vAlign w:val="bottom"/>
            <w:tcBorders>
              <w:top w:val="single" w:sz="8" w:color="0000FF"/>
            </w:tcBorders>
          </w:tcPr>
          <w:p>
            <w:pPr>
              <w:spacing w:after="0"/>
              <w:rPr>
                <w:sz w:val="12"/>
                <w:szCs w:val="12"/>
                <w:color w:val="auto"/>
              </w:rPr>
            </w:pPr>
          </w:p>
        </w:tc>
        <w:tc>
          <w:tcPr>
            <w:tcW w:w="238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89"/>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2"/>
          </w:tcPr>
          <w:p>
            <w:pPr>
              <w:spacing w:after="0"/>
              <w:rPr>
                <w:rFonts w:ascii="Arial" w:cs="Arial" w:eastAsia="Arial" w:hAnsi="Arial"/>
                <w:sz w:val="17"/>
                <w:szCs w:val="17"/>
                <w:color w:val="0000FF"/>
                <w:w w:val="96"/>
              </w:rPr>
            </w:pPr>
            <w:hyperlink r:id="rId147">
              <w:r>
                <w:rPr>
                  <w:rFonts w:ascii="Arial" w:cs="Arial" w:eastAsia="Arial" w:hAnsi="Arial"/>
                  <w:sz w:val="17"/>
                  <w:szCs w:val="17"/>
                  <w:color w:val="0000FF"/>
                  <w:w w:val="96"/>
                </w:rPr>
                <w:t>Letter Agreement dated May 22, 2018 among the Registrant, Nelson Obus and Wynnefield Capital, Inc. incorporated herein by reference to</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8"/>
          </w:tcPr>
          <w:p>
            <w:pPr>
              <w:spacing w:after="0" w:line="148" w:lineRule="exact"/>
              <w:rPr>
                <w:rFonts w:ascii="Arial" w:cs="Arial" w:eastAsia="Arial" w:hAnsi="Arial"/>
                <w:sz w:val="17"/>
                <w:szCs w:val="17"/>
                <w:color w:val="0000FF"/>
              </w:rPr>
            </w:pPr>
            <w:hyperlink r:id="rId147">
              <w:r>
                <w:rPr>
                  <w:rFonts w:ascii="Arial" w:cs="Arial" w:eastAsia="Arial" w:hAnsi="Arial"/>
                  <w:sz w:val="17"/>
                  <w:szCs w:val="17"/>
                  <w:color w:val="0000FF"/>
                </w:rPr>
                <w:t xml:space="preserve">Exhibit 10.1 to the Registrant’s Current Report on Form 8-K </w:t>
              </w:r>
            </w:hyperlink>
            <w:hyperlink r:id="rId137">
              <w:r>
                <w:rPr>
                  <w:rFonts w:ascii="Arial" w:cs="Arial" w:eastAsia="Arial" w:hAnsi="Arial"/>
                  <w:sz w:val="17"/>
                  <w:szCs w:val="17"/>
                  <w:color w:val="0000FF"/>
                </w:rPr>
                <w:t xml:space="preserve">filed on </w:t>
              </w:r>
            </w:hyperlink>
            <w:hyperlink r:id="rId147">
              <w:r>
                <w:rPr>
                  <w:rFonts w:ascii="Arial" w:cs="Arial" w:eastAsia="Arial" w:hAnsi="Arial"/>
                  <w:sz w:val="17"/>
                  <w:szCs w:val="17"/>
                  <w:color w:val="0000FF"/>
                </w:rPr>
                <w:t>May 25,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89"/>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2"/>
          </w:tcPr>
          <w:p>
            <w:pPr>
              <w:spacing w:after="0"/>
              <w:rPr>
                <w:rFonts w:ascii="Arial" w:cs="Arial" w:eastAsia="Arial" w:hAnsi="Arial"/>
                <w:sz w:val="17"/>
                <w:szCs w:val="17"/>
                <w:color w:val="0000FF"/>
                <w:w w:val="95"/>
              </w:rPr>
            </w:pPr>
            <w:hyperlink r:id="rId148">
              <w:r>
                <w:rPr>
                  <w:rFonts w:ascii="Arial" w:cs="Arial" w:eastAsia="Arial" w:hAnsi="Arial"/>
                  <w:sz w:val="17"/>
                  <w:szCs w:val="17"/>
                  <w:color w:val="0000FF"/>
                  <w:w w:val="95"/>
                </w:rPr>
                <w:t>Capital Contribution and Partnership Interest and Stock Purchase Agreement dated December 1, 2018 by and among Apio, Inc., a Delaware</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24"/>
          </w:tcPr>
          <w:p>
            <w:pPr>
              <w:spacing w:after="0" w:line="148" w:lineRule="exact"/>
              <w:rPr>
                <w:rFonts w:ascii="Arial" w:cs="Arial" w:eastAsia="Arial" w:hAnsi="Arial"/>
                <w:sz w:val="17"/>
                <w:szCs w:val="17"/>
                <w:color w:val="0000FF"/>
                <w:w w:val="96"/>
              </w:rPr>
            </w:pPr>
            <w:hyperlink r:id="rId148">
              <w:r>
                <w:rPr>
                  <w:rFonts w:ascii="Arial" w:cs="Arial" w:eastAsia="Arial" w:hAnsi="Arial"/>
                  <w:sz w:val="17"/>
                  <w:szCs w:val="17"/>
                  <w:color w:val="0000FF"/>
                  <w:w w:val="96"/>
                </w:rPr>
                <w:t>Corporation, Yucatan Foods, L.P., a Delaware limited partnership (“Yucatan”), Camden Fruit Corporation, a California corporation, Landec</w:t>
              </w:r>
            </w:hyperlink>
          </w:p>
        </w:tc>
        <w:tc>
          <w:tcPr>
            <w:tcW w:w="60" w:type="dxa"/>
            <w:vAlign w:val="bottom"/>
            <w:tcBorders>
              <w:bottom w:val="single" w:sz="8" w:color="0000FF"/>
            </w:tcBorders>
            <w:gridSpan w:val="3"/>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gridSpan w:val="31"/>
          </w:tcPr>
          <w:p>
            <w:pPr>
              <w:spacing w:after="0" w:line="148" w:lineRule="exact"/>
              <w:rPr>
                <w:rFonts w:ascii="Arial" w:cs="Arial" w:eastAsia="Arial" w:hAnsi="Arial"/>
                <w:sz w:val="17"/>
                <w:szCs w:val="17"/>
                <w:color w:val="0000FF"/>
                <w:w w:val="93"/>
              </w:rPr>
            </w:pPr>
            <w:hyperlink r:id="rId148">
              <w:r>
                <w:rPr>
                  <w:rFonts w:ascii="Arial" w:cs="Arial" w:eastAsia="Arial" w:hAnsi="Arial"/>
                  <w:sz w:val="17"/>
                  <w:szCs w:val="17"/>
                  <w:color w:val="0000FF"/>
                  <w:w w:val="93"/>
                </w:rPr>
                <w:t>Corporation, a Delaware corporation, in its capacity as guarantor, Ardeshir Haerizadeh, as an equityholder representative, and the equityholders</w:t>
              </w:r>
            </w:hyperlink>
          </w:p>
        </w:tc>
        <w:tc>
          <w:tcPr>
            <w:tcW w:w="20" w:type="dxa"/>
            <w:vAlign w:val="bottom"/>
          </w:tcPr>
          <w:p>
            <w:pPr>
              <w:spacing w:after="0"/>
              <w:rPr>
                <w:sz w:val="12"/>
                <w:szCs w:val="12"/>
                <w:color w:val="auto"/>
              </w:rPr>
            </w:pPr>
          </w:p>
        </w:tc>
      </w:tr>
      <w:tr>
        <w:trPr>
          <w:trHeight w:val="160"/>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30"/>
          </w:tcPr>
          <w:p>
            <w:pPr>
              <w:spacing w:after="0" w:line="161" w:lineRule="exact"/>
              <w:rPr>
                <w:rFonts w:ascii="Arial" w:cs="Arial" w:eastAsia="Arial" w:hAnsi="Arial"/>
                <w:sz w:val="17"/>
                <w:szCs w:val="17"/>
                <w:color w:val="0000FF"/>
                <w:w w:val="94"/>
              </w:rPr>
            </w:pPr>
            <w:hyperlink r:id="rId148">
              <w:r>
                <w:rPr>
                  <w:rFonts w:ascii="Arial" w:cs="Arial" w:eastAsia="Arial" w:hAnsi="Arial"/>
                  <w:sz w:val="17"/>
                  <w:szCs w:val="17"/>
                  <w:color w:val="0000FF"/>
                  <w:w w:val="94"/>
                </w:rPr>
                <w:t>of Camden and Yucatan, incorporated herein by reference to Exhibit 2.1 to the Registrant’s Current Report on Form 8-K filed on December 6,</w:t>
              </w:r>
            </w:hyperlink>
          </w:p>
        </w:tc>
        <w:tc>
          <w:tcPr>
            <w:tcW w:w="40" w:type="dxa"/>
            <w:vAlign w:val="bottom"/>
            <w:gridSpan w:val="2"/>
          </w:tcPr>
          <w:p>
            <w:pPr>
              <w:spacing w:after="0"/>
              <w:rPr>
                <w:sz w:val="13"/>
                <w:szCs w:val="13"/>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84"/>
              </w:rPr>
            </w:pPr>
            <w:hyperlink r:id="rId148">
              <w:r>
                <w:rPr>
                  <w:rFonts w:ascii="Arial" w:cs="Arial" w:eastAsia="Arial" w:hAnsi="Arial"/>
                  <w:sz w:val="17"/>
                  <w:szCs w:val="17"/>
                  <w:color w:val="0000FF"/>
                  <w:w w:val="84"/>
                </w:rPr>
                <w:t>2018.</w:t>
              </w:r>
            </w:hyperlink>
          </w:p>
        </w:tc>
        <w:tc>
          <w:tcPr>
            <w:tcW w:w="260" w:type="dxa"/>
            <w:vAlign w:val="bottom"/>
            <w:tcBorders>
              <w:top w:val="single" w:sz="8" w:color="0000FF"/>
            </w:tcBorders>
          </w:tcPr>
          <w:p>
            <w:pPr>
              <w:spacing w:after="0"/>
              <w:rPr>
                <w:sz w:val="12"/>
                <w:szCs w:val="12"/>
                <w:color w:val="auto"/>
              </w:rPr>
            </w:pPr>
          </w:p>
        </w:tc>
        <w:tc>
          <w:tcPr>
            <w:tcW w:w="238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31"/>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89"/>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2"/>
          </w:tcPr>
          <w:p>
            <w:pPr>
              <w:spacing w:after="0"/>
              <w:rPr>
                <w:rFonts w:ascii="Arial" w:cs="Arial" w:eastAsia="Arial" w:hAnsi="Arial"/>
                <w:sz w:val="17"/>
                <w:szCs w:val="17"/>
                <w:color w:val="0000FF"/>
              </w:rPr>
            </w:pPr>
            <w:hyperlink r:id="rId149">
              <w:r>
                <w:rPr>
                  <w:rFonts w:ascii="Arial" w:cs="Arial" w:eastAsia="Arial" w:hAnsi="Arial"/>
                  <w:sz w:val="17"/>
                  <w:szCs w:val="17"/>
                  <w:color w:val="0000FF"/>
                </w:rPr>
                <w:t>Landec Corporation Executive Change in Control Severance Plan.</w:t>
              </w:r>
            </w:hyperlink>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54"/>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89"/>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2"/>
          </w:tcPr>
          <w:p>
            <w:pPr>
              <w:spacing w:after="0"/>
              <w:rPr>
                <w:rFonts w:ascii="Arial" w:cs="Arial" w:eastAsia="Arial" w:hAnsi="Arial"/>
                <w:sz w:val="17"/>
                <w:szCs w:val="17"/>
                <w:color w:val="0000FF"/>
                <w:w w:val="94"/>
              </w:rPr>
            </w:pPr>
            <w:hyperlink r:id="rId150">
              <w:r>
                <w:rPr>
                  <w:rFonts w:ascii="Arial" w:cs="Arial" w:eastAsia="Arial" w:hAnsi="Arial"/>
                  <w:sz w:val="17"/>
                  <w:szCs w:val="17"/>
                  <w:color w:val="0000FF"/>
                  <w:w w:val="94"/>
                </w:rPr>
                <w:t>Credit and Guaranty Agreement, dated December 31, 2020, by and among Landec Corporation, Curation Foods, Inc. and Lifecore Biomedical,</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0"/>
          </w:tcPr>
          <w:p>
            <w:pPr>
              <w:spacing w:after="0" w:line="148" w:lineRule="exact"/>
              <w:rPr>
                <w:rFonts w:ascii="Arial" w:cs="Arial" w:eastAsia="Arial" w:hAnsi="Arial"/>
                <w:sz w:val="17"/>
                <w:szCs w:val="17"/>
                <w:color w:val="0000FF"/>
                <w:w w:val="98"/>
              </w:rPr>
            </w:pPr>
            <w:hyperlink r:id="rId150">
              <w:r>
                <w:rPr>
                  <w:rFonts w:ascii="Arial" w:cs="Arial" w:eastAsia="Arial" w:hAnsi="Arial"/>
                  <w:sz w:val="17"/>
                  <w:szCs w:val="17"/>
                  <w:color w:val="0000FF"/>
                  <w:w w:val="98"/>
                </w:rPr>
                <w:t>Inc., as borrowers, certain other subsidiary parties thereto, as guarantors, Goldman Sachs Specialty Lending Group, L.P., as lender,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0" w:type="dxa"/>
            <w:vAlign w:val="bottom"/>
            <w:tcBorders>
              <w:top w:val="single" w:sz="8" w:color="0000FF"/>
            </w:tcBorders>
            <w:gridSpan w:val="13"/>
          </w:tcPr>
          <w:p>
            <w:pPr>
              <w:spacing w:after="0" w:line="148" w:lineRule="exact"/>
              <w:rPr>
                <w:rFonts w:ascii="Arial" w:cs="Arial" w:eastAsia="Arial" w:hAnsi="Arial"/>
                <w:sz w:val="17"/>
                <w:szCs w:val="17"/>
                <w:color w:val="0000FF"/>
                <w:w w:val="90"/>
              </w:rPr>
            </w:pPr>
            <w:hyperlink r:id="rId150">
              <w:r>
                <w:rPr>
                  <w:rFonts w:ascii="Arial" w:cs="Arial" w:eastAsia="Arial" w:hAnsi="Arial"/>
                  <w:sz w:val="17"/>
                  <w:szCs w:val="17"/>
                  <w:color w:val="0000FF"/>
                  <w:w w:val="90"/>
                </w:rPr>
                <w:t>administrative agent and collateral agent, and certain affiliates of Guggenheim Credit Services, LLC, as lenders, incorporated herein</w:t>
              </w:r>
            </w:hyperlink>
          </w:p>
        </w:tc>
        <w:tc>
          <w:tcPr>
            <w:tcW w:w="1140" w:type="dxa"/>
            <w:vAlign w:val="bottom"/>
            <w:gridSpan w:val="19"/>
          </w:tcPr>
          <w:p>
            <w:pPr>
              <w:ind w:left="140"/>
              <w:spacing w:after="0" w:line="148" w:lineRule="exact"/>
              <w:rPr>
                <w:rFonts w:ascii="Arial" w:cs="Arial" w:eastAsia="Arial" w:hAnsi="Arial"/>
                <w:sz w:val="17"/>
                <w:szCs w:val="17"/>
                <w:color w:val="0000FF"/>
              </w:rPr>
            </w:pPr>
            <w:hyperlink r:id="rId150">
              <w:r>
                <w:rPr>
                  <w:rFonts w:ascii="Arial" w:cs="Arial" w:eastAsia="Arial" w:hAnsi="Arial"/>
                  <w:sz w:val="17"/>
                  <w:szCs w:val="17"/>
                  <w:color w:val="0000FF"/>
                </w:rPr>
                <w:t>by reference</w:t>
              </w:r>
            </w:hyperlink>
          </w:p>
        </w:tc>
      </w:tr>
      <w:tr>
        <w:trPr>
          <w:trHeight w:val="160"/>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00" w:type="dxa"/>
            <w:vAlign w:val="bottom"/>
            <w:tcBorders>
              <w:top w:val="single" w:sz="8" w:color="0000FF"/>
              <w:bottom w:val="single" w:sz="8" w:color="0000FF"/>
            </w:tcBorders>
            <w:gridSpan w:val="11"/>
          </w:tcPr>
          <w:p>
            <w:pPr>
              <w:spacing w:after="0" w:line="161" w:lineRule="exact"/>
              <w:rPr>
                <w:rFonts w:ascii="Arial" w:cs="Arial" w:eastAsia="Arial" w:hAnsi="Arial"/>
                <w:sz w:val="17"/>
                <w:szCs w:val="17"/>
                <w:color w:val="0000FF"/>
                <w:w w:val="92"/>
              </w:rPr>
            </w:pPr>
            <w:hyperlink r:id="rId150">
              <w:r>
                <w:rPr>
                  <w:rFonts w:ascii="Arial" w:cs="Arial" w:eastAsia="Arial" w:hAnsi="Arial"/>
                  <w:sz w:val="17"/>
                  <w:szCs w:val="17"/>
                  <w:color w:val="0000FF"/>
                  <w:w w:val="92"/>
                </w:rPr>
                <w:t>to Exhibit 10.1 to the Registrant’s Current Report on Form 8-K filed on January 5, 2021.</w:t>
              </w:r>
            </w:hyperlink>
          </w:p>
        </w:tc>
        <w:tc>
          <w:tcPr>
            <w:tcW w:w="3940" w:type="dxa"/>
            <w:vAlign w:val="bottom"/>
            <w:tcBorders>
              <w:top w:val="single" w:sz="8" w:color="0000FF"/>
            </w:tcBorders>
            <w:gridSpan w:val="16"/>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54"/>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89"/>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4"/>
          </w:tcPr>
          <w:p>
            <w:pPr>
              <w:spacing w:after="0"/>
              <w:rPr>
                <w:rFonts w:ascii="Arial" w:cs="Arial" w:eastAsia="Arial" w:hAnsi="Arial"/>
                <w:sz w:val="17"/>
                <w:szCs w:val="17"/>
                <w:color w:val="0000FF"/>
                <w:w w:val="91"/>
              </w:rPr>
            </w:pPr>
            <w:hyperlink r:id="rId151">
              <w:r>
                <w:rPr>
                  <w:rFonts w:ascii="Arial" w:cs="Arial" w:eastAsia="Arial" w:hAnsi="Arial"/>
                  <w:sz w:val="17"/>
                  <w:szCs w:val="17"/>
                  <w:color w:val="0000FF"/>
                  <w:w w:val="91"/>
                </w:rPr>
                <w:t>Credit Agreement, dated December 31, 2020, by and among Landec Corporation, Curation Foods, Inc. and Lifecore Biomedical, Inc., as</w:t>
              </w:r>
            </w:hyperlink>
          </w:p>
        </w:tc>
        <w:tc>
          <w:tcPr>
            <w:tcW w:w="740" w:type="dxa"/>
            <w:vAlign w:val="bottom"/>
            <w:gridSpan w:val="18"/>
          </w:tcPr>
          <w:p>
            <w:pPr>
              <w:spacing w:after="0"/>
              <w:rPr>
                <w:sz w:val="24"/>
                <w:szCs w:val="24"/>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gridSpan w:val="32"/>
          </w:tcPr>
          <w:p>
            <w:pPr>
              <w:spacing w:after="0" w:line="148" w:lineRule="exact"/>
              <w:rPr>
                <w:rFonts w:ascii="Arial" w:cs="Arial" w:eastAsia="Arial" w:hAnsi="Arial"/>
                <w:sz w:val="17"/>
                <w:szCs w:val="17"/>
                <w:color w:val="0000FF"/>
                <w:w w:val="93"/>
              </w:rPr>
            </w:pPr>
            <w:hyperlink r:id="rId151">
              <w:r>
                <w:rPr>
                  <w:rFonts w:ascii="Arial" w:cs="Arial" w:eastAsia="Arial" w:hAnsi="Arial"/>
                  <w:sz w:val="17"/>
                  <w:szCs w:val="17"/>
                  <w:color w:val="0000FF"/>
                  <w:w w:val="93"/>
                </w:rPr>
                <w:t>borrowers, certain other subsidiary parties thereto, as guarantors, and BMO Harris Bank., N.A., a slender and administrative agent, incorporated</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3"/>
          </w:tcPr>
          <w:p>
            <w:pPr>
              <w:spacing w:after="0" w:line="148" w:lineRule="exact"/>
              <w:rPr>
                <w:rFonts w:ascii="Arial" w:cs="Arial" w:eastAsia="Arial" w:hAnsi="Arial"/>
                <w:sz w:val="17"/>
                <w:szCs w:val="17"/>
                <w:color w:val="0000FF"/>
              </w:rPr>
            </w:pPr>
            <w:hyperlink r:id="rId151">
              <w:r>
                <w:rPr>
                  <w:rFonts w:ascii="Arial" w:cs="Arial" w:eastAsia="Arial" w:hAnsi="Arial"/>
                  <w:sz w:val="17"/>
                  <w:szCs w:val="17"/>
                  <w:color w:val="0000FF"/>
                </w:rPr>
                <w:t>herein by reference to Exhibit 10.2 to the Registrant’s Current Report on Form 8-K filed on January 5, 2021.</w:t>
              </w:r>
            </w:hyperlink>
          </w:p>
        </w:tc>
        <w:tc>
          <w:tcPr>
            <w:tcW w:w="220" w:type="dxa"/>
            <w:vAlign w:val="bottom"/>
            <w:gridSpan w:val="9"/>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2"/>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89"/>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2"/>
          </w:tcPr>
          <w:p>
            <w:pPr>
              <w:spacing w:after="0"/>
              <w:rPr>
                <w:rFonts w:ascii="Arial" w:cs="Arial" w:eastAsia="Arial" w:hAnsi="Arial"/>
                <w:sz w:val="17"/>
                <w:szCs w:val="17"/>
                <w:color w:val="0000FF"/>
                <w:w w:val="94"/>
              </w:rPr>
            </w:pPr>
            <w:hyperlink r:id="rId152">
              <w:r>
                <w:rPr>
                  <w:rFonts w:ascii="Arial" w:cs="Arial" w:eastAsia="Arial" w:hAnsi="Arial"/>
                  <w:sz w:val="17"/>
                  <w:szCs w:val="17"/>
                  <w:color w:val="0000FF"/>
                  <w:w w:val="94"/>
                </w:rPr>
                <w:t>Pledge and Security Agreement, dated December 31, 2020, by and among Landec Corporation, Curation Foods, Inc., Lifecore Biomedical, Inc.</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22"/>
          </w:tcPr>
          <w:p>
            <w:pPr>
              <w:spacing w:after="0" w:line="148" w:lineRule="exact"/>
              <w:rPr>
                <w:rFonts w:ascii="Arial" w:cs="Arial" w:eastAsia="Arial" w:hAnsi="Arial"/>
                <w:sz w:val="17"/>
                <w:szCs w:val="17"/>
                <w:color w:val="0000FF"/>
                <w:w w:val="92"/>
              </w:rPr>
            </w:pPr>
            <w:hyperlink r:id="rId152">
              <w:r>
                <w:rPr>
                  <w:rFonts w:ascii="Arial" w:cs="Arial" w:eastAsia="Arial" w:hAnsi="Arial"/>
                  <w:sz w:val="17"/>
                  <w:szCs w:val="17"/>
                  <w:color w:val="0000FF"/>
                  <w:w w:val="92"/>
                </w:rPr>
                <w:t>and certain other subsidiary parties thereto, as grantors, and Goldman Sachs Specialty Lending Group, L.P., as collateral agent, incorporated</w:t>
              </w:r>
            </w:hyperlink>
          </w:p>
        </w:tc>
        <w:tc>
          <w:tcPr>
            <w:tcW w:w="260" w:type="dxa"/>
            <w:vAlign w:val="bottom"/>
            <w:gridSpan w:val="10"/>
          </w:tcPr>
          <w:p>
            <w:pPr>
              <w:spacing w:after="0"/>
              <w:rPr>
                <w:sz w:val="12"/>
                <w:szCs w:val="12"/>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60" w:type="dxa"/>
            <w:vAlign w:val="bottom"/>
            <w:tcBorders>
              <w:top w:val="single" w:sz="8" w:color="0000FF"/>
              <w:bottom w:val="single" w:sz="8" w:color="0000FF"/>
            </w:tcBorders>
            <w:gridSpan w:val="12"/>
          </w:tcPr>
          <w:p>
            <w:pPr>
              <w:spacing w:after="0" w:line="148" w:lineRule="exact"/>
              <w:rPr>
                <w:rFonts w:ascii="Arial" w:cs="Arial" w:eastAsia="Arial" w:hAnsi="Arial"/>
                <w:sz w:val="17"/>
                <w:szCs w:val="17"/>
                <w:color w:val="0000FF"/>
                <w:w w:val="92"/>
              </w:rPr>
            </w:pPr>
            <w:hyperlink r:id="rId152">
              <w:r>
                <w:rPr>
                  <w:rFonts w:ascii="Arial" w:cs="Arial" w:eastAsia="Arial" w:hAnsi="Arial"/>
                  <w:sz w:val="17"/>
                  <w:szCs w:val="17"/>
                  <w:color w:val="0000FF"/>
                  <w:w w:val="92"/>
                </w:rPr>
                <w:t>herein by reference to Exhibit 10.3 to the Registrant’s Current Report on Form 8-K filed on January 5, 2021</w:t>
              </w:r>
            </w:hyperlink>
          </w:p>
        </w:tc>
        <w:tc>
          <w:tcPr>
            <w:tcW w:w="2180" w:type="dxa"/>
            <w:vAlign w:val="bottom"/>
            <w:tcBorders>
              <w:top w:val="single" w:sz="8" w:color="0000FF"/>
            </w:tcBorders>
            <w:gridSpan w:val="6"/>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280" w:type="dxa"/>
            <w:vAlign w:val="bottom"/>
            <w:gridSpan w:val="11"/>
          </w:tcPr>
          <w:p>
            <w:pPr>
              <w:spacing w:after="0"/>
              <w:rPr>
                <w:sz w:val="12"/>
                <w:szCs w:val="12"/>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0"/>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2"/>
          </w:tcPr>
          <w:p>
            <w:pPr>
              <w:spacing w:after="0"/>
              <w:rPr>
                <w:rFonts w:ascii="Arial" w:cs="Arial" w:eastAsia="Arial" w:hAnsi="Arial"/>
                <w:sz w:val="17"/>
                <w:szCs w:val="17"/>
                <w:color w:val="0000FF"/>
                <w:w w:val="94"/>
              </w:rPr>
            </w:pPr>
            <w:hyperlink r:id="rId153">
              <w:r>
                <w:rPr>
                  <w:rFonts w:ascii="Arial" w:cs="Arial" w:eastAsia="Arial" w:hAnsi="Arial"/>
                  <w:sz w:val="17"/>
                  <w:szCs w:val="17"/>
                  <w:color w:val="0000FF"/>
                  <w:w w:val="94"/>
                </w:rPr>
                <w:t>Pledge and Security Agreement, dated December 31, 2020, by and among Landec Corporation, Curation Foods, Inc., Lifecore Biomedical, Inc.</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22"/>
          </w:tcPr>
          <w:p>
            <w:pPr>
              <w:spacing w:after="0" w:line="148" w:lineRule="exact"/>
              <w:rPr>
                <w:rFonts w:ascii="Arial" w:cs="Arial" w:eastAsia="Arial" w:hAnsi="Arial"/>
                <w:sz w:val="17"/>
                <w:szCs w:val="17"/>
                <w:color w:val="0000FF"/>
                <w:w w:val="94"/>
              </w:rPr>
            </w:pPr>
            <w:hyperlink r:id="rId153">
              <w:r>
                <w:rPr>
                  <w:rFonts w:ascii="Arial" w:cs="Arial" w:eastAsia="Arial" w:hAnsi="Arial"/>
                  <w:sz w:val="17"/>
                  <w:szCs w:val="17"/>
                  <w:color w:val="0000FF"/>
                  <w:w w:val="94"/>
                </w:rPr>
                <w:t>and certain other subsidiary parties thereto, as grantors, and BMO Harris Bank., N.A., as administrative agent, incorporated by reference to</w:t>
              </w:r>
            </w:hyperlink>
          </w:p>
        </w:tc>
        <w:tc>
          <w:tcPr>
            <w:tcW w:w="260" w:type="dxa"/>
            <w:vAlign w:val="bottom"/>
            <w:gridSpan w:val="10"/>
          </w:tcPr>
          <w:p>
            <w:pPr>
              <w:spacing w:after="0"/>
              <w:rPr>
                <w:sz w:val="12"/>
                <w:szCs w:val="12"/>
                <w:color w:val="auto"/>
              </w:rPr>
            </w:pPr>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2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w w:val="92"/>
              </w:rPr>
            </w:pPr>
            <w:hyperlink r:id="rId153">
              <w:r>
                <w:rPr>
                  <w:rFonts w:ascii="Arial" w:cs="Arial" w:eastAsia="Arial" w:hAnsi="Arial"/>
                  <w:sz w:val="17"/>
                  <w:szCs w:val="17"/>
                  <w:color w:val="0000FF"/>
                  <w:w w:val="92"/>
                </w:rPr>
                <w:t>Exhibit 10.4 to the Registrant’s Current Report on Form 8-K filed on January 5, 2021.</w:t>
              </w:r>
            </w:hyperlink>
          </w:p>
        </w:tc>
        <w:tc>
          <w:tcPr>
            <w:tcW w:w="3640" w:type="dxa"/>
            <w:vAlign w:val="bottom"/>
            <w:tcBorders>
              <w:top w:val="single" w:sz="8" w:color="0000FF"/>
            </w:tcBorders>
            <w:gridSpan w:val="6"/>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60" w:type="dxa"/>
            <w:vAlign w:val="bottom"/>
            <w:gridSpan w:val="2"/>
          </w:tcPr>
          <w:p>
            <w:pPr>
              <w:spacing w:after="0"/>
              <w:rPr>
                <w:sz w:val="12"/>
                <w:szCs w:val="12"/>
                <w:color w:val="auto"/>
              </w:rPr>
            </w:pPr>
          </w:p>
        </w:tc>
        <w:tc>
          <w:tcPr>
            <w:tcW w:w="280" w:type="dxa"/>
            <w:vAlign w:val="bottom"/>
            <w:gridSpan w:val="11"/>
          </w:tcPr>
          <w:p>
            <w:pPr>
              <w:spacing w:after="0"/>
              <w:rPr>
                <w:sz w:val="12"/>
                <w:szCs w:val="12"/>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89"/>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2"/>
          </w:tcPr>
          <w:p>
            <w:pPr>
              <w:spacing w:after="0"/>
              <w:rPr>
                <w:rFonts w:ascii="Arial" w:cs="Arial" w:eastAsia="Arial" w:hAnsi="Arial"/>
                <w:sz w:val="17"/>
                <w:szCs w:val="17"/>
                <w:color w:val="0000FF"/>
                <w:w w:val="94"/>
              </w:rPr>
            </w:pPr>
            <w:hyperlink r:id="rId154">
              <w:r>
                <w:rPr>
                  <w:rFonts w:ascii="Arial" w:cs="Arial" w:eastAsia="Arial" w:hAnsi="Arial"/>
                  <w:sz w:val="17"/>
                  <w:szCs w:val="17"/>
                  <w:color w:val="0000FF"/>
                  <w:w w:val="94"/>
                </w:rPr>
                <w:t>Employment Agreement, dated January 18, 2021, by and between Landec Corporation and John Morberg, incorporated by reference to Exhibit</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60" w:type="dxa"/>
            <w:vAlign w:val="bottom"/>
            <w:tcBorders>
              <w:top w:val="single" w:sz="8" w:color="0000FF"/>
              <w:bottom w:val="single" w:sz="8" w:color="0000FF"/>
            </w:tcBorders>
            <w:gridSpan w:val="8"/>
          </w:tcPr>
          <w:p>
            <w:pPr>
              <w:spacing w:after="0" w:line="148" w:lineRule="exact"/>
              <w:rPr>
                <w:rFonts w:ascii="Arial" w:cs="Arial" w:eastAsia="Arial" w:hAnsi="Arial"/>
                <w:sz w:val="17"/>
                <w:szCs w:val="17"/>
                <w:color w:val="0000FF"/>
                <w:w w:val="91"/>
              </w:rPr>
            </w:pPr>
            <w:hyperlink r:id="rId154">
              <w:r>
                <w:rPr>
                  <w:rFonts w:ascii="Arial" w:cs="Arial" w:eastAsia="Arial" w:hAnsi="Arial"/>
                  <w:sz w:val="17"/>
                  <w:szCs w:val="17"/>
                  <w:color w:val="0000FF"/>
                  <w:w w:val="91"/>
                </w:rPr>
                <w:t>10.</w:t>
              </w:r>
              <w:r>
                <w:rPr>
                  <w:rFonts w:ascii="Arial" w:cs="Arial" w:eastAsia="Arial" w:hAnsi="Arial"/>
                  <w:sz w:val="17"/>
                  <w:szCs w:val="17"/>
                  <w:u w:val="single" w:color="auto"/>
                  <w:color w:val="0000FF"/>
                  <w:w w:val="91"/>
                </w:rPr>
                <w:t>1</w:t>
              </w:r>
              <w:r>
                <w:rPr>
                  <w:rFonts w:ascii="Arial" w:cs="Arial" w:eastAsia="Arial" w:hAnsi="Arial"/>
                  <w:sz w:val="17"/>
                  <w:szCs w:val="17"/>
                  <w:color w:val="0000FF"/>
                  <w:w w:val="91"/>
                </w:rPr>
                <w:t xml:space="preserve"> to the Registrant’s Current Report on Form 8-K filed on January 20, 2021.</w:t>
              </w:r>
            </w:hyperlink>
          </w:p>
        </w:tc>
        <w:tc>
          <w:tcPr>
            <w:tcW w:w="4400" w:type="dxa"/>
            <w:vAlign w:val="bottom"/>
            <w:tcBorders>
              <w:top w:val="single" w:sz="8" w:color="0000FF"/>
            </w:tcBorders>
            <w:gridSpan w:val="13"/>
          </w:tcPr>
          <w:p>
            <w:pPr>
              <w:spacing w:after="0"/>
              <w:rPr>
                <w:sz w:val="12"/>
                <w:szCs w:val="12"/>
                <w:color w:val="auto"/>
              </w:rPr>
            </w:pPr>
          </w:p>
        </w:tc>
        <w:tc>
          <w:tcPr>
            <w:tcW w:w="280" w:type="dxa"/>
            <w:vAlign w:val="bottom"/>
            <w:gridSpan w:val="11"/>
          </w:tcPr>
          <w:p>
            <w:pPr>
              <w:spacing w:after="0"/>
              <w:rPr>
                <w:sz w:val="12"/>
                <w:szCs w:val="12"/>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89"/>
              </w:rPr>
              <w:t>10.22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2"/>
          </w:tcPr>
          <w:p>
            <w:pPr>
              <w:spacing w:after="0"/>
              <w:rPr>
                <w:rFonts w:ascii="Arial" w:cs="Arial" w:eastAsia="Arial" w:hAnsi="Arial"/>
                <w:sz w:val="17"/>
                <w:szCs w:val="17"/>
                <w:color w:val="0000FF"/>
                <w:w w:val="95"/>
              </w:rPr>
            </w:pPr>
            <w:hyperlink r:id="rId155">
              <w:r>
                <w:rPr>
                  <w:rFonts w:ascii="Arial" w:cs="Arial" w:eastAsia="Arial" w:hAnsi="Arial"/>
                  <w:sz w:val="17"/>
                  <w:szCs w:val="17"/>
                  <w:color w:val="0000FF"/>
                  <w:w w:val="95"/>
                </w:rPr>
                <w:t>Separation and General Release by and between Landec Corporation and Brian McLaughlin, incorporated by reference to Exhibit 10.1 to the</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tcBorders>
              <w:top w:val="single" w:sz="8" w:color="0000FF"/>
              <w:bottom w:val="single" w:sz="8" w:color="0000FF"/>
            </w:tcBorders>
            <w:gridSpan w:val="6"/>
          </w:tcPr>
          <w:p>
            <w:pPr>
              <w:spacing w:after="0" w:line="148" w:lineRule="exact"/>
              <w:rPr>
                <w:rFonts w:ascii="Arial" w:cs="Arial" w:eastAsia="Arial" w:hAnsi="Arial"/>
                <w:sz w:val="17"/>
                <w:szCs w:val="17"/>
                <w:color w:val="0000FF"/>
                <w:w w:val="92"/>
              </w:rPr>
            </w:pPr>
            <w:hyperlink r:id="rId155">
              <w:r>
                <w:rPr>
                  <w:rFonts w:ascii="Arial" w:cs="Arial" w:eastAsia="Arial" w:hAnsi="Arial"/>
                  <w:sz w:val="17"/>
                  <w:szCs w:val="17"/>
                  <w:color w:val="0000FF"/>
                  <w:w w:val="92"/>
                </w:rPr>
                <w:t>Registrant’s Current Report on Form 8-K filed on February 2, 2021.</w:t>
              </w:r>
            </w:hyperlink>
          </w:p>
        </w:tc>
        <w:tc>
          <w:tcPr>
            <w:tcW w:w="5020" w:type="dxa"/>
            <w:vAlign w:val="bottom"/>
            <w:tcBorders>
              <w:top w:val="single" w:sz="8" w:color="0000FF"/>
            </w:tcBorders>
            <w:gridSpan w:val="13"/>
          </w:tcPr>
          <w:p>
            <w:pPr>
              <w:spacing w:after="0"/>
              <w:rPr>
                <w:sz w:val="12"/>
                <w:szCs w:val="12"/>
                <w:color w:val="auto"/>
              </w:rPr>
            </w:pPr>
          </w:p>
        </w:tc>
        <w:tc>
          <w:tcPr>
            <w:tcW w:w="440" w:type="dxa"/>
            <w:vAlign w:val="bottom"/>
            <w:gridSpan w:val="13"/>
          </w:tcPr>
          <w:p>
            <w:pPr>
              <w:spacing w:after="0"/>
              <w:rPr>
                <w:sz w:val="12"/>
                <w:szCs w:val="12"/>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89"/>
              </w:rPr>
              <w:t>10.23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2"/>
          </w:tcPr>
          <w:p>
            <w:pPr>
              <w:spacing w:after="0"/>
              <w:rPr>
                <w:rFonts w:ascii="Arial" w:cs="Arial" w:eastAsia="Arial" w:hAnsi="Arial"/>
                <w:sz w:val="17"/>
                <w:szCs w:val="17"/>
                <w:color w:val="0000FF"/>
                <w:w w:val="98"/>
              </w:rPr>
            </w:pPr>
            <w:hyperlink r:id="rId156">
              <w:r>
                <w:rPr>
                  <w:rFonts w:ascii="Arial" w:cs="Arial" w:eastAsia="Arial" w:hAnsi="Arial"/>
                  <w:sz w:val="17"/>
                  <w:szCs w:val="17"/>
                  <w:color w:val="0000FF"/>
                  <w:w w:val="98"/>
                </w:rPr>
                <w:t>Separation and General Release by and between Landec Corporation and Dawn Kimball, incorporated by reference to Exhibit 10.1 to the</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tcBorders>
            <w:gridSpan w:val="15"/>
          </w:tcPr>
          <w:p>
            <w:pPr>
              <w:spacing w:after="0" w:line="148" w:lineRule="exact"/>
              <w:rPr>
                <w:rFonts w:ascii="Arial" w:cs="Arial" w:eastAsia="Arial" w:hAnsi="Arial"/>
                <w:sz w:val="17"/>
                <w:szCs w:val="17"/>
                <w:color w:val="0000FF"/>
              </w:rPr>
            </w:pPr>
            <w:hyperlink r:id="rId156">
              <w:r>
                <w:rPr>
                  <w:rFonts w:ascii="Arial" w:cs="Arial" w:eastAsia="Arial" w:hAnsi="Arial"/>
                  <w:sz w:val="17"/>
                  <w:szCs w:val="17"/>
                  <w:color w:val="0000FF"/>
                </w:rPr>
                <w:t>Registrant’s Current Report on Form 8-K filed on March 8, 2021</w:t>
              </w:r>
            </w:hyperlink>
          </w:p>
        </w:tc>
        <w:tc>
          <w:tcPr>
            <w:tcW w:w="160" w:type="dxa"/>
            <w:vAlign w:val="bottom"/>
            <w:gridSpan w:val="2"/>
          </w:tcPr>
          <w:p>
            <w:pPr>
              <w:spacing w:after="0"/>
              <w:rPr>
                <w:sz w:val="12"/>
                <w:szCs w:val="12"/>
                <w:color w:val="auto"/>
              </w:rPr>
            </w:pPr>
          </w:p>
        </w:tc>
        <w:tc>
          <w:tcPr>
            <w:tcW w:w="540" w:type="dxa"/>
            <w:vAlign w:val="bottom"/>
            <w:gridSpan w:val="15"/>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4"/>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900" w:type="dxa"/>
            <w:vAlign w:val="bottom"/>
            <w:gridSpan w:val="10"/>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89"/>
              </w:rPr>
              <w:t>10.24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2"/>
          </w:tcPr>
          <w:p>
            <w:pPr>
              <w:spacing w:after="0"/>
              <w:rPr>
                <w:rFonts w:ascii="Arial" w:cs="Arial" w:eastAsia="Arial" w:hAnsi="Arial"/>
                <w:sz w:val="17"/>
                <w:szCs w:val="17"/>
                <w:color w:val="0000FF"/>
                <w:w w:val="95"/>
              </w:rPr>
            </w:pPr>
            <w:hyperlink r:id="rId157">
              <w:r>
                <w:rPr>
                  <w:rFonts w:ascii="Arial" w:cs="Arial" w:eastAsia="Arial" w:hAnsi="Arial"/>
                  <w:sz w:val="17"/>
                  <w:szCs w:val="17"/>
                  <w:color w:val="0000FF"/>
                  <w:w w:val="95"/>
                </w:rPr>
                <w:t>Separation and General Release by and between Landec Corporation and Timothy Burgess, incorporated by reference to Exhibit 10.1 to the</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0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w w:val="92"/>
              </w:rPr>
            </w:pPr>
            <w:hyperlink r:id="rId157">
              <w:r>
                <w:rPr>
                  <w:rFonts w:ascii="Arial" w:cs="Arial" w:eastAsia="Arial" w:hAnsi="Arial"/>
                  <w:sz w:val="17"/>
                  <w:szCs w:val="17"/>
                  <w:color w:val="0000FF"/>
                  <w:w w:val="92"/>
                </w:rPr>
                <w:t>Registrant’s Current Report on Form 8-K filed on October 15, 2021.</w:t>
              </w:r>
            </w:hyperlink>
          </w:p>
        </w:tc>
        <w:tc>
          <w:tcPr>
            <w:tcW w:w="4900" w:type="dxa"/>
            <w:vAlign w:val="bottom"/>
            <w:tcBorders>
              <w:top w:val="single" w:sz="8" w:color="0000FF"/>
            </w:tcBorders>
            <w:gridSpan w:val="10"/>
          </w:tcPr>
          <w:p>
            <w:pPr>
              <w:spacing w:after="0"/>
              <w:rPr>
                <w:sz w:val="12"/>
                <w:szCs w:val="12"/>
                <w:color w:val="auto"/>
              </w:rPr>
            </w:pPr>
          </w:p>
        </w:tc>
        <w:tc>
          <w:tcPr>
            <w:tcW w:w="540" w:type="dxa"/>
            <w:vAlign w:val="bottom"/>
            <w:gridSpan w:val="15"/>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67310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220" w:top="295" w:right="639" w:bottom="1440" w:gutter="0" w:footer="0" w:header="0"/>
        </w:sectPr>
      </w:pPr>
    </w:p>
    <w:bookmarkStart w:id="109" w:name="page110"/>
    <w:bookmarkEnd w:id="109"/>
    <w:p>
      <w:pPr>
        <w:ind w:left="7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gridSpan w:val="2"/>
          </w:tcPr>
          <w:p>
            <w:pPr>
              <w:ind w:left="80"/>
              <w:spacing w:after="0"/>
              <w:rPr>
                <w:sz w:val="20"/>
                <w:szCs w:val="20"/>
                <w:color w:val="auto"/>
              </w:rPr>
            </w:pPr>
            <w:r>
              <w:rPr>
                <w:rFonts w:ascii="Arial" w:cs="Arial" w:eastAsia="Arial" w:hAnsi="Arial"/>
                <w:sz w:val="17"/>
                <w:szCs w:val="17"/>
                <w:b w:val="1"/>
                <w:bCs w:val="1"/>
                <w:color w:val="auto"/>
              </w:rPr>
              <w:t>Exhibit</w:t>
            </w: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1"/>
        </w:trPr>
        <w:tc>
          <w:tcPr>
            <w:tcW w:w="1000" w:type="dxa"/>
            <w:vAlign w:val="bottom"/>
            <w:gridSpan w:val="2"/>
          </w:tcPr>
          <w:p>
            <w:pPr>
              <w:ind w:left="40"/>
              <w:spacing w:after="0"/>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900" w:type="dxa"/>
            <w:vAlign w:val="bottom"/>
            <w:gridSpan w:val="9"/>
          </w:tcPr>
          <w:p>
            <w:pPr>
              <w:ind w:left="420"/>
              <w:spacing w:after="0"/>
              <w:rPr>
                <w:sz w:val="20"/>
                <w:szCs w:val="20"/>
                <w:color w:val="auto"/>
              </w:rPr>
            </w:pPr>
            <w:r>
              <w:rPr>
                <w:rFonts w:ascii="Arial" w:cs="Arial" w:eastAsia="Arial" w:hAnsi="Arial"/>
                <w:sz w:val="17"/>
                <w:szCs w:val="17"/>
                <w:b w:val="1"/>
                <w:bCs w:val="1"/>
                <w:color w:val="auto"/>
              </w:rPr>
              <w:t>Exhibit Title</w:t>
            </w:r>
          </w:p>
        </w:tc>
      </w:tr>
      <w:tr>
        <w:trPr>
          <w:trHeight w:val="174"/>
        </w:trPr>
        <w:tc>
          <w:tcPr>
            <w:tcW w:w="900" w:type="dxa"/>
            <w:vAlign w:val="bottom"/>
            <w:tcBorders>
              <w:top w:val="single" w:sz="8" w:color="auto"/>
            </w:tcBorders>
          </w:tcPr>
          <w:p>
            <w:pPr>
              <w:jc w:val="center"/>
              <w:ind w:right="114"/>
              <w:spacing w:after="0" w:line="174" w:lineRule="exact"/>
              <w:rPr>
                <w:sz w:val="20"/>
                <w:szCs w:val="20"/>
                <w:color w:val="auto"/>
              </w:rPr>
            </w:pPr>
            <w:r>
              <w:rPr>
                <w:rFonts w:ascii="Arial" w:cs="Arial" w:eastAsia="Arial" w:hAnsi="Arial"/>
                <w:sz w:val="17"/>
                <w:szCs w:val="17"/>
                <w:color w:val="auto"/>
                <w:w w:val="89"/>
              </w:rPr>
              <w:t>10.25</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20" w:type="dxa"/>
            <w:vAlign w:val="bottom"/>
            <w:tcBorders>
              <w:top w:val="single" w:sz="8" w:color="auto"/>
            </w:tcBorders>
            <w:gridSpan w:val="13"/>
          </w:tcPr>
          <w:p>
            <w:pPr>
              <w:spacing w:after="0" w:line="174" w:lineRule="exact"/>
              <w:rPr>
                <w:rFonts w:ascii="Arial" w:cs="Arial" w:eastAsia="Arial" w:hAnsi="Arial"/>
                <w:sz w:val="17"/>
                <w:szCs w:val="17"/>
                <w:color w:val="0000FF"/>
                <w:w w:val="94"/>
              </w:rPr>
            </w:pPr>
            <w:hyperlink r:id="rId159">
              <w:r>
                <w:rPr>
                  <w:rFonts w:ascii="Arial" w:cs="Arial" w:eastAsia="Arial" w:hAnsi="Arial"/>
                  <w:sz w:val="17"/>
                  <w:szCs w:val="17"/>
                  <w:color w:val="0000FF"/>
                  <w:w w:val="94"/>
                </w:rPr>
                <w:t>Share Purchase Agreement, dated June 1, 2021, by and among the Company, Curation Foods, Newell Capital Corporation, Newell Brothers</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10"/>
          </w:tcPr>
          <w:p>
            <w:pPr>
              <w:spacing w:after="0" w:line="148" w:lineRule="exact"/>
              <w:rPr>
                <w:rFonts w:ascii="Arial" w:cs="Arial" w:eastAsia="Arial" w:hAnsi="Arial"/>
                <w:sz w:val="17"/>
                <w:szCs w:val="17"/>
                <w:color w:val="0000FF"/>
                <w:w w:val="92"/>
              </w:rPr>
            </w:pPr>
            <w:hyperlink r:id="rId159">
              <w:r>
                <w:rPr>
                  <w:rFonts w:ascii="Arial" w:cs="Arial" w:eastAsia="Arial" w:hAnsi="Arial"/>
                  <w:sz w:val="17"/>
                  <w:szCs w:val="17"/>
                  <w:color w:val="0000FF"/>
                  <w:w w:val="92"/>
                </w:rPr>
                <w:t>Investment 2 Corp., and Windset Holdings 2010 Ltd., incorporated by reference to Exhibit 10.1 to the Registrant’s Current Report on Form</w:t>
              </w:r>
            </w:hyperlink>
          </w:p>
        </w:tc>
        <w:tc>
          <w:tcPr>
            <w:tcW w:w="400" w:type="dxa"/>
            <w:vAlign w:val="bottom"/>
            <w:gridSpan w:val="3"/>
          </w:tcPr>
          <w:p>
            <w:pPr>
              <w:spacing w:after="0" w:line="148" w:lineRule="exact"/>
              <w:rPr>
                <w:rFonts w:ascii="Arial" w:cs="Arial" w:eastAsia="Arial" w:hAnsi="Arial"/>
                <w:sz w:val="17"/>
                <w:szCs w:val="17"/>
                <w:color w:val="0000FF"/>
              </w:rPr>
            </w:pPr>
            <w:hyperlink r:id="rId159">
              <w:r>
                <w:rPr>
                  <w:rFonts w:ascii="Arial" w:cs="Arial" w:eastAsia="Arial" w:hAnsi="Arial"/>
                  <w:sz w:val="17"/>
                  <w:szCs w:val="17"/>
                  <w:color w:val="0000FF"/>
                </w:rPr>
                <w:t>8-K</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1"/>
              </w:rPr>
            </w:pPr>
            <w:hyperlink r:id="rId159">
              <w:r>
                <w:rPr>
                  <w:rFonts w:ascii="Arial" w:cs="Arial" w:eastAsia="Arial" w:hAnsi="Arial"/>
                  <w:sz w:val="17"/>
                  <w:szCs w:val="17"/>
                  <w:color w:val="0000FF"/>
                  <w:w w:val="91"/>
                </w:rPr>
                <w:t>filed on June 2, 2021.</w:t>
              </w:r>
            </w:hyperlink>
          </w:p>
        </w:tc>
        <w:tc>
          <w:tcPr>
            <w:tcW w:w="8400" w:type="dxa"/>
            <w:vAlign w:val="bottom"/>
            <w:tcBorders>
              <w:top w:val="single" w:sz="8" w:color="0000FF"/>
            </w:tcBorders>
            <w:gridSpan w:val="10"/>
          </w:tcPr>
          <w:p>
            <w:pPr>
              <w:spacing w:after="0"/>
              <w:rPr>
                <w:sz w:val="12"/>
                <w:szCs w:val="12"/>
                <w:color w:val="auto"/>
              </w:rPr>
            </w:pPr>
          </w:p>
        </w:tc>
        <w:tc>
          <w:tcPr>
            <w:tcW w:w="120" w:type="dxa"/>
            <w:vAlign w:val="bottom"/>
          </w:tcPr>
          <w:p>
            <w:pPr>
              <w:spacing w:after="0"/>
              <w:rPr>
                <w:sz w:val="12"/>
                <w:szCs w:val="12"/>
                <w:color w:val="auto"/>
              </w:rPr>
            </w:pPr>
          </w:p>
        </w:tc>
      </w:tr>
      <w:tr>
        <w:trPr>
          <w:trHeight w:val="367"/>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89"/>
              </w:rPr>
              <w:t>10.26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FF"/>
            </w:tcBorders>
            <w:gridSpan w:val="11"/>
          </w:tcPr>
          <w:p>
            <w:pPr>
              <w:spacing w:after="0"/>
              <w:rPr>
                <w:rFonts w:ascii="Arial" w:cs="Arial" w:eastAsia="Arial" w:hAnsi="Arial"/>
                <w:sz w:val="17"/>
                <w:szCs w:val="17"/>
                <w:color w:val="0000FF"/>
                <w:w w:val="91"/>
              </w:rPr>
            </w:pPr>
            <w:hyperlink r:id="rId160">
              <w:r>
                <w:rPr>
                  <w:rFonts w:ascii="Arial" w:cs="Arial" w:eastAsia="Arial" w:hAnsi="Arial"/>
                  <w:sz w:val="17"/>
                  <w:szCs w:val="17"/>
                  <w:color w:val="0000FF"/>
                  <w:w w:val="91"/>
                </w:rPr>
                <w:t>Amended and Restated Employment Agreement between the Registrant and Albert D. Bolles, Ph.D., effective as of July 23, 2020, incorporated</w:t>
              </w:r>
            </w:hyperlink>
          </w:p>
        </w:tc>
        <w:tc>
          <w:tcPr>
            <w:tcW w:w="140" w:type="dxa"/>
            <w:vAlign w:val="bottom"/>
            <w:gridSpan w:val="2"/>
          </w:tcPr>
          <w:p>
            <w:pPr>
              <w:spacing w:after="0"/>
              <w:rPr>
                <w:sz w:val="24"/>
                <w:szCs w:val="24"/>
                <w:color w:val="auto"/>
              </w:rPr>
            </w:pPr>
          </w:p>
        </w:tc>
      </w:tr>
      <w:tr>
        <w:trPr>
          <w:trHeight w:val="173"/>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3"/>
          </w:tcPr>
          <w:p>
            <w:pPr>
              <w:spacing w:after="0" w:line="173" w:lineRule="exact"/>
              <w:rPr>
                <w:rFonts w:ascii="Arial" w:cs="Arial" w:eastAsia="Arial" w:hAnsi="Arial"/>
                <w:sz w:val="17"/>
                <w:szCs w:val="17"/>
                <w:color w:val="0000FF"/>
              </w:rPr>
            </w:pPr>
            <w:hyperlink r:id="rId160">
              <w:r>
                <w:rPr>
                  <w:rFonts w:ascii="Arial" w:cs="Arial" w:eastAsia="Arial" w:hAnsi="Arial"/>
                  <w:sz w:val="17"/>
                  <w:szCs w:val="17"/>
                  <w:color w:val="0000FF"/>
                </w:rPr>
                <w:t>by reference to Exhibit 10.1 to the Registrant’s Quarterly Report on Form 10-Q filed on October 7, 2020.</w:t>
              </w:r>
            </w:hyperlink>
          </w:p>
        </w:tc>
      </w:tr>
      <w:tr>
        <w:trPr>
          <w:trHeight w:val="262"/>
        </w:trPr>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Borders>
              <w:top w:val="single" w:sz="8" w:color="0000FF"/>
            </w:tcBorders>
          </w:tcPr>
          <w:p>
            <w:pPr>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0000FF"/>
            </w:tcBorders>
          </w:tcPr>
          <w:p>
            <w:pPr>
              <w:spacing w:after="0"/>
              <w:rPr>
                <w:sz w:val="22"/>
                <w:szCs w:val="22"/>
                <w:color w:val="auto"/>
              </w:rPr>
            </w:pPr>
          </w:p>
        </w:tc>
        <w:tc>
          <w:tcPr>
            <w:tcW w:w="1240" w:type="dxa"/>
            <w:vAlign w:val="bottom"/>
            <w:tcBorders>
              <w:top w:val="single" w:sz="8" w:color="0000FF"/>
            </w:tcBorders>
          </w:tcPr>
          <w:p>
            <w:pPr>
              <w:spacing w:after="0"/>
              <w:rPr>
                <w:sz w:val="22"/>
                <w:szCs w:val="22"/>
                <w:color w:val="auto"/>
              </w:rPr>
            </w:pPr>
          </w:p>
        </w:tc>
        <w:tc>
          <w:tcPr>
            <w:tcW w:w="1380" w:type="dxa"/>
            <w:vAlign w:val="bottom"/>
            <w:tcBorders>
              <w:top w:val="single" w:sz="8" w:color="0000FF"/>
            </w:tcBorders>
          </w:tcPr>
          <w:p>
            <w:pPr>
              <w:spacing w:after="0"/>
              <w:rPr>
                <w:sz w:val="22"/>
                <w:szCs w:val="22"/>
                <w:color w:val="auto"/>
              </w:rPr>
            </w:pPr>
          </w:p>
        </w:tc>
        <w:tc>
          <w:tcPr>
            <w:tcW w:w="12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40" w:type="dxa"/>
            <w:vAlign w:val="bottom"/>
            <w:tcBorders>
              <w:top w:val="single" w:sz="8" w:color="0000FF"/>
            </w:tcBorders>
          </w:tcPr>
          <w:p>
            <w:pPr>
              <w:spacing w:after="0"/>
              <w:rPr>
                <w:sz w:val="22"/>
                <w:szCs w:val="22"/>
                <w:color w:val="auto"/>
              </w:rPr>
            </w:pPr>
          </w:p>
        </w:tc>
        <w:tc>
          <w:tcPr>
            <w:tcW w:w="2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2"/>
        </w:trPr>
        <w:tc>
          <w:tcPr>
            <w:tcW w:w="900" w:type="dxa"/>
            <w:vAlign w:val="bottom"/>
          </w:tcPr>
          <w:p>
            <w:pPr>
              <w:jc w:val="center"/>
              <w:ind w:right="114"/>
              <w:spacing w:after="0" w:line="182" w:lineRule="exact"/>
              <w:rPr>
                <w:sz w:val="20"/>
                <w:szCs w:val="20"/>
                <w:color w:val="auto"/>
              </w:rPr>
            </w:pPr>
            <w:r>
              <w:rPr>
                <w:rFonts w:ascii="Arial" w:cs="Arial" w:eastAsia="Arial" w:hAnsi="Arial"/>
                <w:sz w:val="17"/>
                <w:szCs w:val="17"/>
                <w:color w:val="auto"/>
                <w:w w:val="90"/>
              </w:rPr>
              <w:t>21.1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3"/>
          </w:tcPr>
          <w:p>
            <w:pPr>
              <w:spacing w:after="0" w:line="182" w:lineRule="exact"/>
              <w:rPr>
                <w:rFonts w:ascii="Arial" w:cs="Arial" w:eastAsia="Arial" w:hAnsi="Arial"/>
                <w:sz w:val="17"/>
                <w:szCs w:val="17"/>
                <w:color w:val="0000FF"/>
                <w:w w:val="98"/>
              </w:rPr>
            </w:pPr>
            <w:hyperlink r:id="rId161">
              <w:r>
                <w:rPr>
                  <w:rFonts w:ascii="Arial" w:cs="Arial" w:eastAsia="Arial" w:hAnsi="Arial"/>
                  <w:sz w:val="17"/>
                  <w:szCs w:val="17"/>
                  <w:color w:val="0000FF"/>
                  <w:w w:val="98"/>
                </w:rPr>
                <w:t>Subsidiaries of the Registrant, incorporated herein by reference to Exhibit 21.1 to the Registrant’s Annual Report on Form 10-K filed on</w:t>
              </w:r>
            </w:hyperlink>
          </w:p>
        </w:tc>
      </w:tr>
      <w:tr>
        <w:trPr>
          <w:trHeight w:val="148"/>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9"/>
          </w:tcPr>
          <w:p>
            <w:pPr>
              <w:spacing w:after="0" w:line="148" w:lineRule="exact"/>
              <w:rPr>
                <w:rFonts w:ascii="Arial" w:cs="Arial" w:eastAsia="Arial" w:hAnsi="Arial"/>
                <w:sz w:val="17"/>
                <w:szCs w:val="17"/>
                <w:color w:val="0000FF"/>
              </w:rPr>
            </w:pPr>
            <w:hyperlink r:id="rId161">
              <w:r>
                <w:rPr>
                  <w:rFonts w:ascii="Arial" w:cs="Arial" w:eastAsia="Arial" w:hAnsi="Arial"/>
                  <w:sz w:val="17"/>
                  <w:szCs w:val="17"/>
                  <w:color w:val="0000FF"/>
                </w:rPr>
                <w:t>September 14, 2022.</w:t>
              </w:r>
            </w:hyperlink>
          </w:p>
        </w:tc>
        <w:tc>
          <w:tcPr>
            <w:tcW w:w="640" w:type="dxa"/>
            <w:vAlign w:val="bottom"/>
            <w:gridSpan w:val="4"/>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r>
      <w:tr>
        <w:trPr>
          <w:trHeight w:val="367"/>
        </w:trPr>
        <w:tc>
          <w:tcPr>
            <w:tcW w:w="900" w:type="dxa"/>
            <w:vAlign w:val="bottom"/>
          </w:tcPr>
          <w:p>
            <w:pPr>
              <w:jc w:val="center"/>
              <w:ind w:right="134"/>
              <w:spacing w:after="0"/>
              <w:rPr>
                <w:sz w:val="20"/>
                <w:szCs w:val="20"/>
                <w:color w:val="auto"/>
              </w:rPr>
            </w:pPr>
            <w:r>
              <w:rPr>
                <w:rFonts w:ascii="Arial" w:cs="Arial" w:eastAsia="Arial" w:hAnsi="Arial"/>
                <w:sz w:val="17"/>
                <w:szCs w:val="17"/>
                <w:color w:val="auto"/>
                <w:w w:val="92"/>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Arial" w:cs="Arial" w:eastAsia="Arial" w:hAnsi="Arial"/>
                <w:sz w:val="17"/>
                <w:szCs w:val="17"/>
                <w:color w:val="0000FF"/>
              </w:rPr>
              <w:t>Consent of Independent Registered Public Accounting Firm</w:t>
            </w:r>
          </w:p>
        </w:tc>
      </w:tr>
      <w:tr>
        <w:trPr>
          <w:trHeight w:val="354"/>
        </w:trPr>
        <w:tc>
          <w:tcPr>
            <w:tcW w:w="900" w:type="dxa"/>
            <w:vAlign w:val="bottom"/>
          </w:tcPr>
          <w:p>
            <w:pPr>
              <w:jc w:val="center"/>
              <w:ind w:right="134"/>
              <w:spacing w:after="0"/>
              <w:rPr>
                <w:sz w:val="20"/>
                <w:szCs w:val="20"/>
                <w:color w:val="auto"/>
              </w:rPr>
            </w:pPr>
            <w:r>
              <w:rPr>
                <w:rFonts w:ascii="Arial" w:cs="Arial" w:eastAsia="Arial" w:hAnsi="Arial"/>
                <w:sz w:val="17"/>
                <w:szCs w:val="17"/>
                <w:color w:val="auto"/>
                <w:w w:val="92"/>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Power of Attorney – See signature page</w:t>
            </w:r>
          </w:p>
        </w:tc>
        <w:tc>
          <w:tcPr>
            <w:tcW w:w="5900" w:type="dxa"/>
            <w:vAlign w:val="bottom"/>
            <w:gridSpan w:val="9"/>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r>
      <w:tr>
        <w:trPr>
          <w:trHeight w:val="354"/>
        </w:trPr>
        <w:tc>
          <w:tcPr>
            <w:tcW w:w="900" w:type="dxa"/>
            <w:vAlign w:val="bottom"/>
          </w:tcPr>
          <w:p>
            <w:pPr>
              <w:jc w:val="center"/>
              <w:ind w:right="134"/>
              <w:spacing w:after="0"/>
              <w:rPr>
                <w:sz w:val="20"/>
                <w:szCs w:val="20"/>
                <w:color w:val="auto"/>
              </w:rPr>
            </w:pPr>
            <w:r>
              <w:rPr>
                <w:rFonts w:ascii="Arial" w:cs="Arial" w:eastAsia="Arial" w:hAnsi="Arial"/>
                <w:sz w:val="17"/>
                <w:szCs w:val="17"/>
                <w:color w:val="auto"/>
                <w:w w:val="92"/>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2"/>
              </w:rPr>
              <w:t>CEO Certification pursuant to section 302 of the Sarbanes-Oxley Act of 2002</w:t>
            </w:r>
          </w:p>
        </w:tc>
        <w:tc>
          <w:tcPr>
            <w:tcW w:w="4640" w:type="dxa"/>
            <w:vAlign w:val="bottom"/>
            <w:gridSpan w:val="6"/>
          </w:tcPr>
          <w:p>
            <w:pPr>
              <w:spacing w:after="0"/>
              <w:rPr>
                <w:sz w:val="24"/>
                <w:szCs w:val="24"/>
                <w:color w:val="auto"/>
              </w:rPr>
            </w:pPr>
          </w:p>
        </w:tc>
      </w:tr>
      <w:tr>
        <w:trPr>
          <w:trHeight w:val="354"/>
        </w:trPr>
        <w:tc>
          <w:tcPr>
            <w:tcW w:w="900" w:type="dxa"/>
            <w:vAlign w:val="bottom"/>
          </w:tcPr>
          <w:p>
            <w:pPr>
              <w:jc w:val="center"/>
              <w:ind w:right="134"/>
              <w:spacing w:after="0"/>
              <w:rPr>
                <w:sz w:val="20"/>
                <w:szCs w:val="20"/>
                <w:color w:val="auto"/>
              </w:rPr>
            </w:pPr>
            <w:r>
              <w:rPr>
                <w:rFonts w:ascii="Arial" w:cs="Arial" w:eastAsia="Arial" w:hAnsi="Arial"/>
                <w:sz w:val="17"/>
                <w:szCs w:val="17"/>
                <w:color w:val="auto"/>
                <w:w w:val="92"/>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2"/>
              </w:rPr>
              <w:t>CFO Certification pursuant to section 302 of the Sarbanes-Oxley Act of 2002</w:t>
            </w:r>
          </w:p>
        </w:tc>
        <w:tc>
          <w:tcPr>
            <w:tcW w:w="4660" w:type="dxa"/>
            <w:vAlign w:val="bottom"/>
            <w:gridSpan w:val="7"/>
          </w:tcPr>
          <w:p>
            <w:pPr>
              <w:spacing w:after="0"/>
              <w:rPr>
                <w:sz w:val="24"/>
                <w:szCs w:val="24"/>
                <w:color w:val="auto"/>
              </w:rPr>
            </w:pPr>
          </w:p>
        </w:tc>
      </w:tr>
      <w:tr>
        <w:trPr>
          <w:trHeight w:val="354"/>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9"/>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2"/>
              </w:rPr>
              <w:t>CEO Certification pursuant to section 906 of the Sarbanes-Oxley Act of 2002</w:t>
            </w:r>
          </w:p>
        </w:tc>
        <w:tc>
          <w:tcPr>
            <w:tcW w:w="4640" w:type="dxa"/>
            <w:vAlign w:val="bottom"/>
            <w:gridSpan w:val="6"/>
          </w:tcPr>
          <w:p>
            <w:pPr>
              <w:spacing w:after="0"/>
              <w:rPr>
                <w:sz w:val="24"/>
                <w:szCs w:val="24"/>
                <w:color w:val="auto"/>
              </w:rPr>
            </w:pPr>
          </w:p>
        </w:tc>
      </w:tr>
      <w:tr>
        <w:trPr>
          <w:trHeight w:val="354"/>
        </w:trPr>
        <w:tc>
          <w:tcPr>
            <w:tcW w:w="900" w:type="dxa"/>
            <w:vAlign w:val="bottom"/>
          </w:tcPr>
          <w:p>
            <w:pPr>
              <w:jc w:val="center"/>
              <w:ind w:right="114"/>
              <w:spacing w:after="0"/>
              <w:rPr>
                <w:sz w:val="20"/>
                <w:szCs w:val="20"/>
                <w:color w:val="auto"/>
              </w:rPr>
            </w:pPr>
            <w:r>
              <w:rPr>
                <w:rFonts w:ascii="Arial" w:cs="Arial" w:eastAsia="Arial" w:hAnsi="Arial"/>
                <w:sz w:val="17"/>
                <w:szCs w:val="17"/>
                <w:color w:val="auto"/>
                <w:w w:val="99"/>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2"/>
              </w:rPr>
              <w:t>CFO Certification pursuant to section 906 of the Sarbanes-Oxley Act of 2002</w:t>
            </w:r>
          </w:p>
        </w:tc>
        <w:tc>
          <w:tcPr>
            <w:tcW w:w="4680" w:type="dxa"/>
            <w:vAlign w:val="bottom"/>
            <w:gridSpan w:val="8"/>
          </w:tcPr>
          <w:p>
            <w:pPr>
              <w:spacing w:after="0"/>
              <w:rPr>
                <w:sz w:val="24"/>
                <w:szCs w:val="24"/>
                <w:color w:val="auto"/>
              </w:rPr>
            </w:pPr>
          </w:p>
        </w:tc>
      </w:tr>
      <w:tr>
        <w:trPr>
          <w:trHeight w:val="455"/>
        </w:trPr>
        <w:tc>
          <w:tcPr>
            <w:tcW w:w="1000" w:type="dxa"/>
            <w:vAlign w:val="bottom"/>
            <w:gridSpan w:val="2"/>
          </w:tcPr>
          <w:p>
            <w:pPr>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Arial" w:cs="Arial" w:eastAsia="Arial" w:hAnsi="Arial"/>
                <w:sz w:val="17"/>
                <w:szCs w:val="17"/>
                <w:color w:val="auto"/>
              </w:rPr>
              <w:t>XBRL Instance</w:t>
            </w:r>
          </w:p>
        </w:tc>
      </w:tr>
      <w:tr>
        <w:trPr>
          <w:trHeight w:val="438"/>
        </w:trPr>
        <w:tc>
          <w:tcPr>
            <w:tcW w:w="1000" w:type="dxa"/>
            <w:vAlign w:val="bottom"/>
            <w:gridSpan w:val="2"/>
          </w:tcPr>
          <w:p>
            <w:pPr>
              <w:ind w:left="40"/>
              <w:spacing w:after="0"/>
              <w:rPr>
                <w:sz w:val="20"/>
                <w:szCs w:val="20"/>
                <w:color w:val="auto"/>
              </w:rPr>
            </w:pPr>
            <w:r>
              <w:rPr>
                <w:rFonts w:ascii="Arial" w:cs="Arial" w:eastAsia="Arial" w:hAnsi="Arial"/>
                <w:sz w:val="17"/>
                <w:szCs w:val="17"/>
                <w:color w:val="auto"/>
              </w:rPr>
              <w:t>01.SCH**</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Arial" w:cs="Arial" w:eastAsia="Arial" w:hAnsi="Arial"/>
                <w:sz w:val="17"/>
                <w:szCs w:val="17"/>
                <w:color w:val="auto"/>
              </w:rPr>
              <w:t>XBRL Taxonomy Extension Schema</w:t>
            </w:r>
          </w:p>
        </w:tc>
      </w:tr>
      <w:tr>
        <w:trPr>
          <w:trHeight w:val="438"/>
        </w:trPr>
        <w:tc>
          <w:tcPr>
            <w:tcW w:w="1000" w:type="dxa"/>
            <w:vAlign w:val="bottom"/>
            <w:gridSpan w:val="2"/>
          </w:tcPr>
          <w:p>
            <w:pPr>
              <w:ind w:left="20"/>
              <w:spacing w:after="0"/>
              <w:rPr>
                <w:sz w:val="20"/>
                <w:szCs w:val="20"/>
                <w:color w:val="auto"/>
              </w:rPr>
            </w:pPr>
            <w:r>
              <w:rPr>
                <w:rFonts w:ascii="Arial" w:cs="Arial" w:eastAsia="Arial" w:hAnsi="Arial"/>
                <w:sz w:val="17"/>
                <w:szCs w:val="17"/>
                <w:color w:val="auto"/>
              </w:rPr>
              <w:t>01.CAL**</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Arial" w:cs="Arial" w:eastAsia="Arial" w:hAnsi="Arial"/>
                <w:sz w:val="17"/>
                <w:szCs w:val="17"/>
                <w:color w:val="auto"/>
              </w:rPr>
              <w:t>XBRL Taxonomy Extension Calculation</w:t>
            </w:r>
          </w:p>
        </w:tc>
      </w:tr>
      <w:tr>
        <w:trPr>
          <w:trHeight w:val="438"/>
        </w:trPr>
        <w:tc>
          <w:tcPr>
            <w:tcW w:w="1000" w:type="dxa"/>
            <w:vAlign w:val="bottom"/>
            <w:gridSpan w:val="2"/>
          </w:tcPr>
          <w:p>
            <w:pPr>
              <w:ind w:left="40"/>
              <w:spacing w:after="0"/>
              <w:rPr>
                <w:sz w:val="20"/>
                <w:szCs w:val="20"/>
                <w:color w:val="auto"/>
              </w:rPr>
            </w:pPr>
            <w:r>
              <w:rPr>
                <w:rFonts w:ascii="Arial" w:cs="Arial" w:eastAsia="Arial" w:hAnsi="Arial"/>
                <w:sz w:val="17"/>
                <w:szCs w:val="17"/>
                <w:color w:val="auto"/>
              </w:rPr>
              <w:t>01.DEF**</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Arial" w:cs="Arial" w:eastAsia="Arial" w:hAnsi="Arial"/>
                <w:sz w:val="17"/>
                <w:szCs w:val="17"/>
                <w:color w:val="auto"/>
              </w:rPr>
              <w:t>XBRL Taxonomy Extension Definition</w:t>
            </w:r>
          </w:p>
        </w:tc>
      </w:tr>
      <w:tr>
        <w:trPr>
          <w:trHeight w:val="438"/>
        </w:trPr>
        <w:tc>
          <w:tcPr>
            <w:tcW w:w="1000" w:type="dxa"/>
            <w:vAlign w:val="bottom"/>
            <w:gridSpan w:val="2"/>
          </w:tcPr>
          <w:p>
            <w:pPr>
              <w:ind w:left="20"/>
              <w:spacing w:after="0"/>
              <w:rPr>
                <w:sz w:val="20"/>
                <w:szCs w:val="20"/>
                <w:color w:val="auto"/>
              </w:rPr>
            </w:pPr>
            <w:r>
              <w:rPr>
                <w:rFonts w:ascii="Arial" w:cs="Arial" w:eastAsia="Arial" w:hAnsi="Arial"/>
                <w:sz w:val="17"/>
                <w:szCs w:val="17"/>
                <w:color w:val="auto"/>
              </w:rPr>
              <w:t>01.LAB**</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Arial" w:cs="Arial" w:eastAsia="Arial" w:hAnsi="Arial"/>
                <w:sz w:val="17"/>
                <w:szCs w:val="17"/>
                <w:color w:val="auto"/>
              </w:rPr>
              <w:t>XBRL Taxonomy Extension Labels</w:t>
            </w:r>
          </w:p>
        </w:tc>
      </w:tr>
      <w:tr>
        <w:trPr>
          <w:trHeight w:val="438"/>
        </w:trPr>
        <w:tc>
          <w:tcPr>
            <w:tcW w:w="1000" w:type="dxa"/>
            <w:vAlign w:val="bottom"/>
            <w:gridSpan w:val="2"/>
          </w:tcPr>
          <w:p>
            <w:pPr>
              <w:ind w:left="40"/>
              <w:spacing w:after="0"/>
              <w:rPr>
                <w:sz w:val="20"/>
                <w:szCs w:val="20"/>
                <w:color w:val="auto"/>
              </w:rPr>
            </w:pPr>
            <w:r>
              <w:rPr>
                <w:rFonts w:ascii="Arial" w:cs="Arial" w:eastAsia="Arial" w:hAnsi="Arial"/>
                <w:sz w:val="17"/>
                <w:szCs w:val="17"/>
                <w:color w:val="auto"/>
              </w:rPr>
              <w:t>01.PRE**</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Arial" w:cs="Arial" w:eastAsia="Arial" w:hAnsi="Arial"/>
                <w:sz w:val="17"/>
                <w:szCs w:val="17"/>
                <w:color w:val="auto"/>
              </w:rPr>
              <w:t>XBRL Taxonomy Extension Presentation</w:t>
            </w:r>
          </w:p>
        </w:tc>
      </w:tr>
    </w:tbl>
    <w:p>
      <w:pPr>
        <w:spacing w:after="0" w:line="221" w:lineRule="exact"/>
        <w:rPr>
          <w:sz w:val="20"/>
          <w:szCs w:val="20"/>
          <w:color w:val="auto"/>
        </w:rPr>
      </w:pPr>
    </w:p>
    <w:p>
      <w:pPr>
        <w:ind w:left="1020" w:hanging="715"/>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a management contract or compensatory plan or arrangement</w:t>
      </w:r>
    </w:p>
    <w:p>
      <w:pPr>
        <w:spacing w:after="0" w:line="37" w:lineRule="exact"/>
        <w:rPr>
          <w:sz w:val="20"/>
          <w:szCs w:val="20"/>
          <w:color w:val="auto"/>
        </w:rPr>
      </w:pPr>
    </w:p>
    <w:p>
      <w:pPr>
        <w:ind w:left="1020" w:right="340" w:hanging="758"/>
        <w:spacing w:after="0" w:line="292" w:lineRule="auto"/>
        <w:tabs>
          <w:tab w:leader="none" w:pos="10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Information is furnished and shall not be deemed “filed” for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 except as expressly set forth by specific reference in such filing</w:t>
      </w:r>
    </w:p>
    <w:p>
      <w:pPr>
        <w:spacing w:after="0" w:line="2" w:lineRule="exact"/>
        <w:rPr>
          <w:sz w:val="20"/>
          <w:szCs w:val="20"/>
          <w:color w:val="auto"/>
        </w:rPr>
      </w:pPr>
    </w:p>
    <w:p>
      <w:pPr>
        <w:ind w:left="1020" w:hanging="720"/>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67310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220" w:top="295" w:right="639" w:bottom="1440" w:gutter="0" w:footer="0" w:header="0"/>
        </w:sectPr>
      </w:pPr>
    </w:p>
    <w:bookmarkStart w:id="110" w:name="page111"/>
    <w:bookmarkEnd w:id="110"/>
    <w:p>
      <w:pPr>
        <w:ind w:left="6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9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Chaska, State of Minnesota, on March 16, 2023.</w:t>
      </w:r>
    </w:p>
    <w:p>
      <w:pPr>
        <w:spacing w:after="0" w:line="158" w:lineRule="exact"/>
        <w:rPr>
          <w:sz w:val="20"/>
          <w:szCs w:val="20"/>
          <w:color w:val="auto"/>
        </w:rPr>
      </w:pPr>
    </w:p>
    <w:p>
      <w:pPr>
        <w:ind w:left="6640"/>
        <w:spacing w:after="0"/>
        <w:rPr>
          <w:sz w:val="20"/>
          <w:szCs w:val="20"/>
          <w:color w:val="auto"/>
        </w:rPr>
      </w:pPr>
      <w:r>
        <w:rPr>
          <w:rFonts w:ascii="Arial" w:cs="Arial" w:eastAsia="Arial" w:hAnsi="Arial"/>
          <w:sz w:val="17"/>
          <w:szCs w:val="17"/>
          <w:b w:val="1"/>
          <w:bCs w:val="1"/>
          <w:color w:val="auto"/>
        </w:rPr>
        <w:t>LIFECORE BIOMEDICAL, INC.</w:t>
      </w:r>
    </w:p>
    <w:p>
      <w:pPr>
        <w:spacing w:after="0" w:line="249" w:lineRule="exact"/>
        <w:rPr>
          <w:sz w:val="20"/>
          <w:szCs w:val="20"/>
          <w:color w:val="auto"/>
        </w:rPr>
      </w:pPr>
    </w:p>
    <w:p>
      <w:pPr>
        <w:ind w:left="6180"/>
        <w:spacing w:after="0"/>
        <w:tabs>
          <w:tab w:leader="none" w:pos="6620" w:val="left"/>
        </w:tabs>
        <w:rPr>
          <w:sz w:val="20"/>
          <w:szCs w:val="20"/>
          <w:color w:val="auto"/>
        </w:rPr>
      </w:pPr>
      <w:r>
        <w:rPr>
          <w:rFonts w:ascii="Arial" w:cs="Arial" w:eastAsia="Arial" w:hAnsi="Arial"/>
          <w:sz w:val="17"/>
          <w:szCs w:val="17"/>
          <w:color w:val="auto"/>
        </w:rPr>
        <w:t>By:</w:t>
        <w:tab/>
        <w:t>/s/ John D. Morberg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4210050</wp:posOffset>
            </wp:positionH>
            <wp:positionV relativeFrom="paragraph">
              <wp:posOffset>14605</wp:posOffset>
            </wp:positionV>
            <wp:extent cx="29908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2990850" cy="8255"/>
                    </a:xfrm>
                    <a:prstGeom prst="rect">
                      <a:avLst/>
                    </a:prstGeom>
                    <a:noFill/>
                  </pic:spPr>
                </pic:pic>
              </a:graphicData>
            </a:graphic>
          </wp:anchor>
        </w:drawing>
      </w:r>
    </w:p>
    <w:p>
      <w:pPr>
        <w:spacing w:after="0" w:line="17"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John D. Morberg</w:t>
      </w:r>
    </w:p>
    <w:p>
      <w:pPr>
        <w:spacing w:after="0" w:line="10" w:lineRule="exact"/>
        <w:rPr>
          <w:sz w:val="20"/>
          <w:szCs w:val="20"/>
          <w:color w:val="auto"/>
        </w:rPr>
      </w:pPr>
    </w:p>
    <w:p>
      <w:pPr>
        <w:ind w:left="6640"/>
        <w:spacing w:after="0"/>
        <w:rPr>
          <w:sz w:val="20"/>
          <w:szCs w:val="20"/>
          <w:color w:val="auto"/>
        </w:rPr>
      </w:pPr>
      <w:r>
        <w:rPr>
          <w:rFonts w:ascii="Arial" w:cs="Arial" w:eastAsia="Arial" w:hAnsi="Arial"/>
          <w:sz w:val="17"/>
          <w:szCs w:val="17"/>
          <w:i w:val="1"/>
          <w:iCs w:val="1"/>
          <w:color w:val="auto"/>
        </w:rPr>
        <w:t>Chief Financial Officer</w:t>
      </w:r>
    </w:p>
    <w:p>
      <w:pPr>
        <w:ind w:left="664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78"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b w:val="1"/>
          <w:bCs w:val="1"/>
          <w:color w:val="auto"/>
        </w:rPr>
        <w:t>KNOW ALL PERSONS BY THESE PRESENTS, that each person whose signature appears below hereby constitutes and appoints James G. Hall and John D. Morberg, and each of them, as his or her attorney-in-fact, with full power of substitution, for him or her in any and all capacities, to sign any and all amendments to this Annual Report on Form 10-K/A, and to file the same, with exhibits thereto and other documents in connection therewith, with the Securities and Exchange Commission, hereby ratifying and confirming our signatures as they may be signed by our said attorney-in-fact to any and all amendments to said Report on Form 10-K/A.</w:t>
      </w:r>
    </w:p>
    <w:p>
      <w:pPr>
        <w:spacing w:after="0" w:line="136"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7"/>
          <w:szCs w:val="17"/>
          <w:b w:val="1"/>
          <w:bCs w:val="1"/>
          <w:color w:val="auto"/>
        </w:rPr>
        <w:t>Pursuant to the requirements of the Securities Exchange Act of 1934, this Report on Form 10-K/A has been signed by the following persons in the capacities and on the dates indicated:</w:t>
      </w:r>
    </w:p>
    <w:p>
      <w:pPr>
        <w:sectPr>
          <w:pgSz w:w="11900" w:h="16838" w:orient="portrait"/>
          <w:cols w:equalWidth="0" w:num="1">
            <w:col w:w="11240"/>
          </w:cols>
          <w:pgMar w:left="320" w:top="295" w:right="339" w:bottom="872" w:gutter="0" w:footer="0" w:header="0"/>
        </w:sectPr>
      </w:pPr>
    </w:p>
    <w:bookmarkStart w:id="111" w:name="page112"/>
    <w:bookmarkEnd w:id="111"/>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Signature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James G.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14605</wp:posOffset>
            </wp:positionV>
            <wp:extent cx="16287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James G. Hall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John D. Morberg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14605</wp:posOffset>
            </wp:positionV>
            <wp:extent cx="16287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John D. Morberg</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Craig Barbarosh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22860</wp:posOffset>
            </wp:positionV>
            <wp:extent cx="16287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Craig Barbarosh</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Nat Calloway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14605</wp:posOffset>
            </wp:positionV>
            <wp:extent cx="16287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Nat Calloway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 Raymond Diradoorian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29210</wp:posOffset>
            </wp:positionV>
            <wp:extent cx="16287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Raymond Diradoorian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Jeffrey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14605</wp:posOffset>
            </wp:positionV>
            <wp:extent cx="16287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Jeffrey Edwards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Katrina Houde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22860</wp:posOffset>
            </wp:positionV>
            <wp:extent cx="16287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Katrina Houde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Christopher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14605</wp:posOffset>
            </wp:positionV>
            <wp:extent cx="16287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Christopher Kiper</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Nelson Obus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14605</wp:posOffset>
            </wp:positionV>
            <wp:extent cx="16287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Nelson Obus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 Joshua E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22225</wp:posOffset>
            </wp:positionV>
            <wp:extent cx="16287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Joshua E. Schechter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1"/>
              </w:rPr>
              <w:t>Title</w:t>
            </w:r>
          </w:p>
        </w:tc>
        <w:tc>
          <w:tcPr>
            <w:tcW w:w="3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380" w:type="dxa"/>
            <w:vAlign w:val="bottom"/>
          </w:tcPr>
          <w:p>
            <w:pPr>
              <w:spacing w:after="0"/>
              <w:rPr>
                <w:sz w:val="16"/>
                <w:szCs w:val="16"/>
                <w:color w:val="auto"/>
              </w:rPr>
            </w:pPr>
          </w:p>
        </w:tc>
      </w:tr>
      <w:tr>
        <w:trPr>
          <w:trHeight w:val="675"/>
        </w:trPr>
        <w:tc>
          <w:tcPr>
            <w:tcW w:w="6460" w:type="dxa"/>
            <w:vAlign w:val="bottom"/>
            <w:gridSpan w:val="3"/>
          </w:tcPr>
          <w:p>
            <w:pPr>
              <w:spacing w:after="0"/>
              <w:rPr>
                <w:sz w:val="20"/>
                <w:szCs w:val="20"/>
                <w:color w:val="auto"/>
              </w:rPr>
            </w:pPr>
            <w:r>
              <w:rPr>
                <w:rFonts w:ascii="Arial" w:cs="Arial" w:eastAsia="Arial" w:hAnsi="Arial"/>
                <w:sz w:val="17"/>
                <w:szCs w:val="17"/>
                <w:color w:val="auto"/>
              </w:rPr>
              <w:t>President and Chief Executive Officer (Principal Executive Officer) and Director</w:t>
            </w:r>
          </w:p>
        </w:tc>
        <w:tc>
          <w:tcPr>
            <w:tcW w:w="1600" w:type="dxa"/>
            <w:vAlign w:val="bottom"/>
            <w:gridSpan w:val="3"/>
          </w:tcPr>
          <w:p>
            <w:pPr>
              <w:jc w:val="center"/>
              <w:ind w:left="414"/>
              <w:spacing w:after="0"/>
              <w:rPr>
                <w:sz w:val="20"/>
                <w:szCs w:val="20"/>
                <w:color w:val="auto"/>
              </w:rPr>
            </w:pPr>
            <w:r>
              <w:rPr>
                <w:rFonts w:ascii="Arial" w:cs="Arial" w:eastAsia="Arial" w:hAnsi="Arial"/>
                <w:sz w:val="17"/>
                <w:szCs w:val="17"/>
                <w:color w:val="auto"/>
                <w:w w:val="93"/>
              </w:rPr>
              <w:t>March 16, 2023</w:t>
            </w:r>
          </w:p>
        </w:tc>
      </w:tr>
      <w:tr>
        <w:trPr>
          <w:trHeight w:val="670"/>
        </w:trPr>
        <w:tc>
          <w:tcPr>
            <w:tcW w:w="6460" w:type="dxa"/>
            <w:vAlign w:val="bottom"/>
            <w:gridSpan w:val="3"/>
          </w:tcPr>
          <w:p>
            <w:pPr>
              <w:spacing w:after="0"/>
              <w:rPr>
                <w:sz w:val="20"/>
                <w:szCs w:val="20"/>
                <w:color w:val="auto"/>
              </w:rPr>
            </w:pPr>
            <w:r>
              <w:rPr>
                <w:rFonts w:ascii="Arial" w:cs="Arial" w:eastAsia="Arial" w:hAnsi="Arial"/>
                <w:sz w:val="17"/>
                <w:szCs w:val="17"/>
                <w:color w:val="auto"/>
              </w:rPr>
              <w:t>Chief Financial Officer (Principal Financial Officer and Principal Accounting Officer)</w:t>
            </w:r>
          </w:p>
        </w:tc>
        <w:tc>
          <w:tcPr>
            <w:tcW w:w="1600" w:type="dxa"/>
            <w:vAlign w:val="bottom"/>
            <w:gridSpan w:val="3"/>
          </w:tcPr>
          <w:p>
            <w:pPr>
              <w:jc w:val="center"/>
              <w:ind w:left="414"/>
              <w:spacing w:after="0"/>
              <w:rPr>
                <w:sz w:val="20"/>
                <w:szCs w:val="20"/>
                <w:color w:val="auto"/>
              </w:rPr>
            </w:pPr>
            <w:r>
              <w:rPr>
                <w:rFonts w:ascii="Arial" w:cs="Arial" w:eastAsia="Arial" w:hAnsi="Arial"/>
                <w:sz w:val="17"/>
                <w:szCs w:val="17"/>
                <w:color w:val="auto"/>
                <w:w w:val="93"/>
              </w:rPr>
              <w:t>March 16, 2023</w:t>
            </w:r>
          </w:p>
        </w:tc>
      </w:tr>
      <w:tr>
        <w:trPr>
          <w:trHeight w:val="696"/>
        </w:trPr>
        <w:tc>
          <w:tcPr>
            <w:tcW w:w="64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600" w:type="dxa"/>
            <w:vAlign w:val="bottom"/>
            <w:gridSpan w:val="3"/>
          </w:tcPr>
          <w:p>
            <w:pPr>
              <w:jc w:val="center"/>
              <w:ind w:left="414"/>
              <w:spacing w:after="0"/>
              <w:rPr>
                <w:sz w:val="20"/>
                <w:szCs w:val="20"/>
                <w:color w:val="auto"/>
              </w:rPr>
            </w:pPr>
            <w:r>
              <w:rPr>
                <w:rFonts w:ascii="Arial" w:cs="Arial" w:eastAsia="Arial" w:hAnsi="Arial"/>
                <w:sz w:val="17"/>
                <w:szCs w:val="17"/>
                <w:color w:val="auto"/>
                <w:w w:val="93"/>
              </w:rPr>
              <w:t>March 16, 2023</w:t>
            </w:r>
          </w:p>
        </w:tc>
      </w:tr>
      <w:tr>
        <w:trPr>
          <w:trHeight w:val="683"/>
        </w:trPr>
        <w:tc>
          <w:tcPr>
            <w:tcW w:w="64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600" w:type="dxa"/>
            <w:vAlign w:val="bottom"/>
            <w:gridSpan w:val="3"/>
          </w:tcPr>
          <w:p>
            <w:pPr>
              <w:jc w:val="center"/>
              <w:ind w:left="414"/>
              <w:spacing w:after="0"/>
              <w:rPr>
                <w:sz w:val="20"/>
                <w:szCs w:val="20"/>
                <w:color w:val="auto"/>
              </w:rPr>
            </w:pPr>
            <w:r>
              <w:rPr>
                <w:rFonts w:ascii="Arial" w:cs="Arial" w:eastAsia="Arial" w:hAnsi="Arial"/>
                <w:sz w:val="17"/>
                <w:szCs w:val="17"/>
                <w:color w:val="auto"/>
                <w:w w:val="93"/>
              </w:rPr>
              <w:t>March 16, 2023</w:t>
            </w:r>
          </w:p>
        </w:tc>
      </w:tr>
      <w:tr>
        <w:trPr>
          <w:trHeight w:val="657"/>
        </w:trPr>
        <w:tc>
          <w:tcPr>
            <w:tcW w:w="64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600" w:type="dxa"/>
            <w:vAlign w:val="bottom"/>
            <w:gridSpan w:val="3"/>
          </w:tcPr>
          <w:p>
            <w:pPr>
              <w:jc w:val="center"/>
              <w:ind w:left="414"/>
              <w:spacing w:after="0"/>
              <w:rPr>
                <w:sz w:val="20"/>
                <w:szCs w:val="20"/>
                <w:color w:val="auto"/>
              </w:rPr>
            </w:pPr>
            <w:r>
              <w:rPr>
                <w:rFonts w:ascii="Arial" w:cs="Arial" w:eastAsia="Arial" w:hAnsi="Arial"/>
                <w:sz w:val="17"/>
                <w:szCs w:val="17"/>
                <w:color w:val="auto"/>
                <w:w w:val="93"/>
              </w:rPr>
              <w:t>March 16, 2023</w:t>
            </w:r>
          </w:p>
        </w:tc>
      </w:tr>
      <w:tr>
        <w:trPr>
          <w:trHeight w:val="670"/>
        </w:trPr>
        <w:tc>
          <w:tcPr>
            <w:tcW w:w="64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600" w:type="dxa"/>
            <w:vAlign w:val="bottom"/>
            <w:gridSpan w:val="3"/>
          </w:tcPr>
          <w:p>
            <w:pPr>
              <w:jc w:val="center"/>
              <w:ind w:left="414"/>
              <w:spacing w:after="0"/>
              <w:rPr>
                <w:sz w:val="20"/>
                <w:szCs w:val="20"/>
                <w:color w:val="auto"/>
              </w:rPr>
            </w:pPr>
            <w:r>
              <w:rPr>
                <w:rFonts w:ascii="Arial" w:cs="Arial" w:eastAsia="Arial" w:hAnsi="Arial"/>
                <w:sz w:val="17"/>
                <w:szCs w:val="17"/>
                <w:color w:val="auto"/>
                <w:w w:val="93"/>
              </w:rPr>
              <w:t>March 16, 2023</w:t>
            </w:r>
          </w:p>
        </w:tc>
      </w:tr>
      <w:tr>
        <w:trPr>
          <w:trHeight w:val="696"/>
        </w:trPr>
        <w:tc>
          <w:tcPr>
            <w:tcW w:w="64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600" w:type="dxa"/>
            <w:vAlign w:val="bottom"/>
            <w:gridSpan w:val="3"/>
          </w:tcPr>
          <w:p>
            <w:pPr>
              <w:jc w:val="center"/>
              <w:ind w:left="414"/>
              <w:spacing w:after="0"/>
              <w:rPr>
                <w:sz w:val="20"/>
                <w:szCs w:val="20"/>
                <w:color w:val="auto"/>
              </w:rPr>
            </w:pPr>
            <w:r>
              <w:rPr>
                <w:rFonts w:ascii="Arial" w:cs="Arial" w:eastAsia="Arial" w:hAnsi="Arial"/>
                <w:sz w:val="17"/>
                <w:szCs w:val="17"/>
                <w:color w:val="auto"/>
                <w:w w:val="93"/>
              </w:rPr>
              <w:t>March 16, 2023</w:t>
            </w:r>
          </w:p>
        </w:tc>
      </w:tr>
      <w:tr>
        <w:trPr>
          <w:trHeight w:val="683"/>
        </w:trPr>
        <w:tc>
          <w:tcPr>
            <w:tcW w:w="64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600" w:type="dxa"/>
            <w:vAlign w:val="bottom"/>
            <w:gridSpan w:val="3"/>
          </w:tcPr>
          <w:p>
            <w:pPr>
              <w:jc w:val="center"/>
              <w:ind w:left="414"/>
              <w:spacing w:after="0"/>
              <w:rPr>
                <w:sz w:val="20"/>
                <w:szCs w:val="20"/>
                <w:color w:val="auto"/>
              </w:rPr>
            </w:pPr>
            <w:r>
              <w:rPr>
                <w:rFonts w:ascii="Arial" w:cs="Arial" w:eastAsia="Arial" w:hAnsi="Arial"/>
                <w:sz w:val="17"/>
                <w:szCs w:val="17"/>
                <w:color w:val="auto"/>
                <w:w w:val="93"/>
              </w:rPr>
              <w:t>March 16, 2023</w:t>
            </w:r>
          </w:p>
        </w:tc>
      </w:tr>
      <w:tr>
        <w:trPr>
          <w:trHeight w:val="670"/>
        </w:trPr>
        <w:tc>
          <w:tcPr>
            <w:tcW w:w="64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600" w:type="dxa"/>
            <w:vAlign w:val="bottom"/>
            <w:gridSpan w:val="3"/>
          </w:tcPr>
          <w:p>
            <w:pPr>
              <w:jc w:val="center"/>
              <w:ind w:left="414"/>
              <w:spacing w:after="0"/>
              <w:rPr>
                <w:sz w:val="20"/>
                <w:szCs w:val="20"/>
                <w:color w:val="auto"/>
              </w:rPr>
            </w:pPr>
            <w:r>
              <w:rPr>
                <w:rFonts w:ascii="Arial" w:cs="Arial" w:eastAsia="Arial" w:hAnsi="Arial"/>
                <w:sz w:val="17"/>
                <w:szCs w:val="17"/>
                <w:color w:val="auto"/>
                <w:w w:val="93"/>
              </w:rPr>
              <w:t>March 16, 2023</w:t>
            </w:r>
          </w:p>
        </w:tc>
      </w:tr>
      <w:tr>
        <w:trPr>
          <w:trHeight w:val="670"/>
        </w:trPr>
        <w:tc>
          <w:tcPr>
            <w:tcW w:w="64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600" w:type="dxa"/>
            <w:vAlign w:val="bottom"/>
            <w:gridSpan w:val="3"/>
          </w:tcPr>
          <w:p>
            <w:pPr>
              <w:jc w:val="center"/>
              <w:ind w:left="414"/>
              <w:spacing w:after="0"/>
              <w:rPr>
                <w:sz w:val="20"/>
                <w:szCs w:val="20"/>
                <w:color w:val="auto"/>
              </w:rPr>
            </w:pPr>
            <w:r>
              <w:rPr>
                <w:rFonts w:ascii="Arial" w:cs="Arial" w:eastAsia="Arial" w:hAnsi="Arial"/>
                <w:sz w:val="17"/>
                <w:szCs w:val="17"/>
                <w:color w:val="auto"/>
                <w:w w:val="93"/>
              </w:rPr>
              <w:t>March 16,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20"/>
        <w:spacing w:after="0"/>
        <w:rPr>
          <w:sz w:val="20"/>
          <w:szCs w:val="20"/>
          <w:color w:val="auto"/>
        </w:rPr>
      </w:pPr>
      <w:r>
        <w:rPr>
          <w:rFonts w:ascii="Arial" w:cs="Arial" w:eastAsia="Arial" w:hAnsi="Arial"/>
          <w:sz w:val="17"/>
          <w:szCs w:val="17"/>
          <w:color w:val="auto"/>
        </w:rPr>
        <w:t>106</w:t>
      </w:r>
    </w:p>
    <w:p>
      <w:pPr>
        <w:sectPr>
          <w:pgSz w:w="11900" w:h="16838" w:orient="portrait"/>
          <w:cols w:equalWidth="0" w:num="2">
            <w:col w:w="1740" w:space="520"/>
            <w:col w:w="8060"/>
          </w:cols>
          <w:pgMar w:left="740" w:top="150" w:right="8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23.1</w:t>
      </w:r>
    </w:p>
    <w:p>
      <w:pPr>
        <w:spacing w:after="0" w:line="88"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256" w:lineRule="exact"/>
        <w:rPr>
          <w:sz w:val="20"/>
          <w:szCs w:val="20"/>
          <w:color w:val="auto"/>
        </w:rPr>
      </w:pPr>
    </w:p>
    <w:p>
      <w:pPr>
        <w:ind w:left="300" w:hanging="297"/>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Registration Statement (Form S-8 No. 333-163926) pertaining to the Landec Corporation 2009 Stock Incentive Plan,</w:t>
      </w:r>
    </w:p>
    <w:p>
      <w:pPr>
        <w:spacing w:after="0" w:line="21" w:lineRule="exact"/>
        <w:rPr>
          <w:rFonts w:ascii="Arial" w:cs="Arial" w:eastAsia="Arial" w:hAnsi="Arial"/>
          <w:sz w:val="17"/>
          <w:szCs w:val="17"/>
          <w:color w:val="auto"/>
        </w:rPr>
      </w:pPr>
    </w:p>
    <w:p>
      <w:pPr>
        <w:ind w:left="300" w:hanging="297"/>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Registration Statements (Form S-8 Nos. 333-193213 and 333-221039) pertaining to the Landec Corporation 2013 Stock Incentive Plan, and</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Registration Statement (Form S-8 No. 333-234229) pertaining to the Landec Corporation 2019 Stock Incentive Plan;</w:t>
      </w:r>
    </w:p>
    <w:p>
      <w:pPr>
        <w:spacing w:after="0" w:line="23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of our reports dated September 13, 2022, with respect to the consolidated financial statements of Landec Corporation and the effectiveness of internal control over financial reporting of Landec Corporation included in this Annual Report (Form 10-K) of Landec Corporation for the year ended May 29, 2022.</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September 13, 2022</w:t>
      </w:r>
    </w:p>
    <w:p>
      <w:pPr>
        <w:sectPr>
          <w:pgSz w:w="11900" w:h="16838" w:orient="portrait"/>
          <w:cols w:equalWidth="0" w:num="1">
            <w:col w:w="11240"/>
          </w:cols>
          <w:pgMar w:left="320" w:top="946"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31.1</w:t>
      </w:r>
    </w:p>
    <w:p>
      <w:pPr>
        <w:spacing w:after="0" w:line="3"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CERTIFICATION OF PRINCIPAL EXECUTIVE OFFICER</w:t>
      </w:r>
    </w:p>
    <w:p>
      <w:pPr>
        <w:ind w:left="4080"/>
        <w:spacing w:after="0" w:line="205" w:lineRule="auto"/>
        <w:rPr>
          <w:sz w:val="20"/>
          <w:szCs w:val="20"/>
          <w:color w:val="auto"/>
        </w:rPr>
      </w:pPr>
      <w:r>
        <w:rPr>
          <w:rFonts w:ascii="Arial" w:cs="Arial" w:eastAsia="Arial" w:hAnsi="Arial"/>
          <w:sz w:val="17"/>
          <w:szCs w:val="17"/>
          <w:color w:val="auto"/>
        </w:rPr>
        <w:t>PURSUANT TO 18 U.S.C. SECTION 1350,</w:t>
      </w:r>
    </w:p>
    <w:p>
      <w:pPr>
        <w:jc w:val="center"/>
        <w:spacing w:after="0" w:line="222" w:lineRule="auto"/>
        <w:rPr>
          <w:sz w:val="20"/>
          <w:szCs w:val="20"/>
          <w:color w:val="auto"/>
        </w:rPr>
      </w:pPr>
      <w:r>
        <w:rPr>
          <w:rFonts w:ascii="Arial" w:cs="Arial" w:eastAsia="Arial" w:hAnsi="Arial"/>
          <w:sz w:val="17"/>
          <w:szCs w:val="17"/>
          <w:color w:val="auto"/>
        </w:rPr>
        <w:t>AS ADOPTED PURSUANT TO SECTION 302 OF</w:t>
      </w:r>
    </w:p>
    <w:p>
      <w:pPr>
        <w:jc w:val="center"/>
        <w:spacing w:after="0"/>
        <w:rPr>
          <w:sz w:val="20"/>
          <w:szCs w:val="20"/>
          <w:color w:val="auto"/>
        </w:rPr>
      </w:pPr>
      <w:r>
        <w:rPr>
          <w:rFonts w:ascii="Arial" w:cs="Arial" w:eastAsia="Arial" w:hAnsi="Arial"/>
          <w:sz w:val="17"/>
          <w:szCs w:val="17"/>
          <w:color w:val="auto"/>
        </w:rPr>
        <w:t>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 James G. Hall, certify that:</w:t>
      </w:r>
    </w:p>
    <w:p>
      <w:pPr>
        <w:spacing w:after="0" w:line="191" w:lineRule="exact"/>
        <w:rPr>
          <w:sz w:val="20"/>
          <w:szCs w:val="20"/>
          <w:color w:val="auto"/>
        </w:rPr>
      </w:pPr>
    </w:p>
    <w:p>
      <w:pPr>
        <w:ind w:left="480" w:hanging="167"/>
        <w:spacing w:after="0"/>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annual report on Form 10-K/A of Landec Corporation;</w:t>
      </w:r>
    </w:p>
    <w:p>
      <w:pPr>
        <w:spacing w:after="0" w:line="178" w:lineRule="exact"/>
        <w:rPr>
          <w:rFonts w:ascii="Arial" w:cs="Arial" w:eastAsia="Arial" w:hAnsi="Arial"/>
          <w:sz w:val="17"/>
          <w:szCs w:val="17"/>
          <w:color w:val="auto"/>
        </w:rPr>
      </w:pPr>
    </w:p>
    <w:p>
      <w:pPr>
        <w:ind w:left="320" w:right="460" w:hanging="7"/>
        <w:spacing w:after="0" w:line="349" w:lineRule="auto"/>
        <w:tabs>
          <w:tab w:leader="none" w:pos="49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5"/>
          <w:szCs w:val="15"/>
          <w:color w:val="auto"/>
        </w:rPr>
      </w:pPr>
    </w:p>
    <w:p>
      <w:pPr>
        <w:ind w:left="320" w:right="220" w:hanging="7"/>
        <w:spacing w:after="0" w:line="279" w:lineRule="auto"/>
        <w:tabs>
          <w:tab w:leader="none" w:pos="492"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320" w:right="60" w:hanging="7"/>
        <w:spacing w:after="0" w:line="266" w:lineRule="auto"/>
        <w:tabs>
          <w:tab w:leader="none" w:pos="49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7"/>
          <w:szCs w:val="17"/>
          <w:color w:val="auto"/>
        </w:rPr>
      </w:pPr>
    </w:p>
    <w:p>
      <w:pPr>
        <w:ind w:left="1240" w:right="260" w:hanging="463"/>
        <w:spacing w:after="0" w:line="266" w:lineRule="auto"/>
        <w:tabs>
          <w:tab w:leader="none" w:pos="1237"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7"/>
          <w:szCs w:val="17"/>
          <w:color w:val="auto"/>
        </w:rPr>
      </w:pPr>
    </w:p>
    <w:p>
      <w:pPr>
        <w:ind w:left="1240" w:right="560" w:hanging="463"/>
        <w:spacing w:after="0" w:line="266" w:lineRule="auto"/>
        <w:tabs>
          <w:tab w:leader="none" w:pos="1234"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Arial" w:cs="Arial" w:eastAsia="Arial" w:hAnsi="Arial"/>
          <w:sz w:val="17"/>
          <w:szCs w:val="17"/>
          <w:color w:val="auto"/>
        </w:rPr>
      </w:pPr>
    </w:p>
    <w:p>
      <w:pPr>
        <w:jc w:val="both"/>
        <w:ind w:left="1240" w:right="720" w:hanging="463"/>
        <w:spacing w:after="0" w:line="349" w:lineRule="auto"/>
        <w:tabs>
          <w:tab w:leader="none" w:pos="1237"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5"/>
          <w:szCs w:val="15"/>
          <w:color w:val="auto"/>
        </w:rPr>
      </w:pPr>
    </w:p>
    <w:p>
      <w:pPr>
        <w:ind w:left="1240" w:right="260" w:hanging="463"/>
        <w:spacing w:after="0" w:line="266" w:lineRule="auto"/>
        <w:tabs>
          <w:tab w:leader="none" w:pos="1234"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7"/>
          <w:szCs w:val="17"/>
          <w:color w:val="auto"/>
        </w:rPr>
      </w:pPr>
    </w:p>
    <w:p>
      <w:pPr>
        <w:ind w:left="320" w:right="660" w:hanging="7"/>
        <w:spacing w:after="0" w:line="312" w:lineRule="auto"/>
        <w:tabs>
          <w:tab w:leader="none" w:pos="49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6"/>
          <w:szCs w:val="16"/>
          <w:color w:val="auto"/>
        </w:rPr>
      </w:pPr>
    </w:p>
    <w:p>
      <w:pPr>
        <w:ind w:left="1240" w:right="160" w:hanging="463"/>
        <w:spacing w:after="0" w:line="279" w:lineRule="auto"/>
        <w:tabs>
          <w:tab w:leader="none" w:pos="1237"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Arial" w:cs="Arial" w:eastAsia="Arial" w:hAnsi="Arial"/>
          <w:sz w:val="17"/>
          <w:szCs w:val="17"/>
          <w:color w:val="auto"/>
        </w:rPr>
      </w:pPr>
    </w:p>
    <w:p>
      <w:pPr>
        <w:ind w:left="1240" w:right="120" w:hanging="463"/>
        <w:spacing w:after="0" w:line="279" w:lineRule="auto"/>
        <w:tabs>
          <w:tab w:leader="none" w:pos="1234"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March 16, 2023</w:t>
      </w:r>
    </w:p>
    <w:p>
      <w:pPr>
        <w:spacing w:after="0" w:line="24" w:lineRule="exact"/>
        <w:rPr>
          <w:sz w:val="20"/>
          <w:szCs w:val="20"/>
          <w:color w:val="auto"/>
        </w:rPr>
      </w:pPr>
    </w:p>
    <w:p>
      <w:pPr>
        <w:ind w:left="5480"/>
        <w:spacing w:after="0"/>
        <w:tabs>
          <w:tab w:leader="none" w:pos="5940" w:val="left"/>
        </w:tabs>
        <w:rPr>
          <w:sz w:val="20"/>
          <w:szCs w:val="20"/>
          <w:color w:val="auto"/>
        </w:rPr>
      </w:pPr>
      <w:r>
        <w:rPr>
          <w:rFonts w:ascii="Arial" w:cs="Arial" w:eastAsia="Arial" w:hAnsi="Arial"/>
          <w:sz w:val="17"/>
          <w:szCs w:val="17"/>
          <w:color w:val="auto"/>
        </w:rPr>
        <w:t>By:</w:t>
        <w:tab/>
        <w:t>/s/ James G.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14605</wp:posOffset>
            </wp:positionV>
            <wp:extent cx="28651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James G. Hall</w:t>
      </w:r>
    </w:p>
    <w:p>
      <w:pPr>
        <w:spacing w:after="0" w:line="10" w:lineRule="exact"/>
        <w:rPr>
          <w:sz w:val="20"/>
          <w:szCs w:val="20"/>
          <w:color w:val="auto"/>
        </w:rPr>
      </w:pPr>
    </w:p>
    <w:p>
      <w:pPr>
        <w:ind w:left="5960"/>
        <w:spacing w:after="0"/>
        <w:rPr>
          <w:sz w:val="20"/>
          <w:szCs w:val="20"/>
          <w:color w:val="auto"/>
        </w:rPr>
      </w:pPr>
      <w:r>
        <w:rPr>
          <w:rFonts w:ascii="Arial" w:cs="Arial" w:eastAsia="Arial" w:hAnsi="Arial"/>
          <w:sz w:val="17"/>
          <w:szCs w:val="17"/>
          <w:i w:val="1"/>
          <w:iCs w:val="1"/>
          <w:color w:val="auto"/>
        </w:rPr>
        <w:t>President and Chief Executive Officer (Principal Executive</w:t>
      </w:r>
    </w:p>
    <w:p>
      <w:pPr>
        <w:ind w:left="5960"/>
        <w:spacing w:after="0"/>
        <w:rPr>
          <w:sz w:val="20"/>
          <w:szCs w:val="20"/>
          <w:color w:val="auto"/>
        </w:rPr>
      </w:pPr>
      <w:r>
        <w:rPr>
          <w:rFonts w:ascii="Arial" w:cs="Arial" w:eastAsia="Arial" w:hAnsi="Arial"/>
          <w:sz w:val="17"/>
          <w:szCs w:val="17"/>
          <w:i w:val="1"/>
          <w:iCs w:val="1"/>
          <w:color w:val="auto"/>
        </w:rPr>
        <w:t>Officer)</w:t>
      </w:r>
    </w:p>
    <w:p>
      <w:pPr>
        <w:sectPr>
          <w:pgSz w:w="11900" w:h="16838" w:orient="portrait"/>
          <w:cols w:equalWidth="0" w:num="1">
            <w:col w:w="11240"/>
          </w:cols>
          <w:pgMar w:left="320" w:top="856"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31.2</w:t>
      </w:r>
    </w:p>
    <w:p>
      <w:pPr>
        <w:spacing w:after="0" w:line="3"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CERTIFICATION OF PRINCIPAL EXECUTIVE OFFICER</w:t>
      </w:r>
    </w:p>
    <w:p>
      <w:pPr>
        <w:ind w:left="4080"/>
        <w:spacing w:after="0" w:line="205" w:lineRule="auto"/>
        <w:rPr>
          <w:sz w:val="20"/>
          <w:szCs w:val="20"/>
          <w:color w:val="auto"/>
        </w:rPr>
      </w:pPr>
      <w:r>
        <w:rPr>
          <w:rFonts w:ascii="Arial" w:cs="Arial" w:eastAsia="Arial" w:hAnsi="Arial"/>
          <w:sz w:val="17"/>
          <w:szCs w:val="17"/>
          <w:color w:val="auto"/>
        </w:rPr>
        <w:t>PURSUANT TO 18 U.S.C. SECTION 1350,</w:t>
      </w:r>
    </w:p>
    <w:p>
      <w:pPr>
        <w:jc w:val="center"/>
        <w:spacing w:after="0" w:line="222" w:lineRule="auto"/>
        <w:rPr>
          <w:sz w:val="20"/>
          <w:szCs w:val="20"/>
          <w:color w:val="auto"/>
        </w:rPr>
      </w:pPr>
      <w:r>
        <w:rPr>
          <w:rFonts w:ascii="Arial" w:cs="Arial" w:eastAsia="Arial" w:hAnsi="Arial"/>
          <w:sz w:val="17"/>
          <w:szCs w:val="17"/>
          <w:color w:val="auto"/>
        </w:rPr>
        <w:t>AS ADOPTED PURSUANT TO SECTION 302 OF</w:t>
      </w:r>
    </w:p>
    <w:p>
      <w:pPr>
        <w:jc w:val="center"/>
        <w:spacing w:after="0"/>
        <w:rPr>
          <w:sz w:val="20"/>
          <w:szCs w:val="20"/>
          <w:color w:val="auto"/>
        </w:rPr>
      </w:pPr>
      <w:r>
        <w:rPr>
          <w:rFonts w:ascii="Arial" w:cs="Arial" w:eastAsia="Arial" w:hAnsi="Arial"/>
          <w:sz w:val="17"/>
          <w:szCs w:val="17"/>
          <w:color w:val="auto"/>
        </w:rPr>
        <w:t>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 John Morberg, certify that:</w:t>
      </w:r>
    </w:p>
    <w:p>
      <w:pPr>
        <w:spacing w:after="0" w:line="191" w:lineRule="exact"/>
        <w:rPr>
          <w:sz w:val="20"/>
          <w:szCs w:val="20"/>
          <w:color w:val="auto"/>
        </w:rPr>
      </w:pPr>
    </w:p>
    <w:p>
      <w:pPr>
        <w:ind w:left="480" w:hanging="167"/>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annual report on Form 10-K/A of Landec Corporation;</w:t>
      </w:r>
    </w:p>
    <w:p>
      <w:pPr>
        <w:spacing w:after="0" w:line="178" w:lineRule="exact"/>
        <w:rPr>
          <w:rFonts w:ascii="Arial" w:cs="Arial" w:eastAsia="Arial" w:hAnsi="Arial"/>
          <w:sz w:val="17"/>
          <w:szCs w:val="17"/>
          <w:color w:val="auto"/>
        </w:rPr>
      </w:pPr>
    </w:p>
    <w:p>
      <w:pPr>
        <w:ind w:left="320" w:right="460" w:hanging="7"/>
        <w:spacing w:after="0" w:line="349" w:lineRule="auto"/>
        <w:tabs>
          <w:tab w:leader="none" w:pos="492"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5"/>
          <w:szCs w:val="15"/>
          <w:color w:val="auto"/>
        </w:rPr>
      </w:pPr>
    </w:p>
    <w:p>
      <w:pPr>
        <w:ind w:left="320" w:right="80" w:hanging="7"/>
        <w:spacing w:after="0" w:line="279" w:lineRule="auto"/>
        <w:tabs>
          <w:tab w:leader="none" w:pos="492"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320" w:right="60" w:hanging="7"/>
        <w:spacing w:after="0" w:line="266" w:lineRule="auto"/>
        <w:tabs>
          <w:tab w:leader="none" w:pos="49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7"/>
          <w:szCs w:val="17"/>
          <w:color w:val="auto"/>
        </w:rPr>
      </w:pPr>
    </w:p>
    <w:p>
      <w:pPr>
        <w:ind w:left="1240" w:right="260" w:hanging="618"/>
        <w:spacing w:after="0" w:line="266" w:lineRule="auto"/>
        <w:tabs>
          <w:tab w:leader="none" w:pos="1237"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7"/>
          <w:szCs w:val="17"/>
          <w:color w:val="auto"/>
        </w:rPr>
      </w:pPr>
    </w:p>
    <w:p>
      <w:pPr>
        <w:ind w:left="1240" w:right="560" w:hanging="618"/>
        <w:spacing w:after="0" w:line="266" w:lineRule="auto"/>
        <w:tabs>
          <w:tab w:leader="none" w:pos="1234"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5"/>
          <w:szCs w:val="15"/>
          <w:color w:val="auto"/>
        </w:rPr>
      </w:pPr>
    </w:p>
    <w:p>
      <w:pPr>
        <w:ind w:left="1240" w:right="260" w:hanging="618"/>
        <w:spacing w:after="0" w:line="266" w:lineRule="auto"/>
        <w:tabs>
          <w:tab w:leader="none" w:pos="1234"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7"/>
          <w:szCs w:val="17"/>
          <w:color w:val="auto"/>
        </w:rPr>
      </w:pPr>
    </w:p>
    <w:p>
      <w:pPr>
        <w:ind w:left="320" w:right="660" w:hanging="7"/>
        <w:spacing w:after="0" w:line="312" w:lineRule="auto"/>
        <w:tabs>
          <w:tab w:leader="none" w:pos="49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6"/>
          <w:szCs w:val="16"/>
          <w:color w:val="auto"/>
        </w:rPr>
      </w:pPr>
    </w:p>
    <w:p>
      <w:pPr>
        <w:ind w:left="1240" w:right="160" w:hanging="618"/>
        <w:spacing w:after="0" w:line="279" w:lineRule="auto"/>
        <w:tabs>
          <w:tab w:leader="none" w:pos="1237"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Arial" w:cs="Arial" w:eastAsia="Arial" w:hAnsi="Arial"/>
          <w:sz w:val="17"/>
          <w:szCs w:val="17"/>
          <w:color w:val="auto"/>
        </w:rPr>
      </w:pPr>
    </w:p>
    <w:p>
      <w:pPr>
        <w:ind w:left="1240" w:right="140" w:hanging="618"/>
        <w:spacing w:after="0" w:line="279" w:lineRule="auto"/>
        <w:tabs>
          <w:tab w:leader="none" w:pos="1234"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March 16, 2023</w:t>
      </w:r>
    </w:p>
    <w:p>
      <w:pPr>
        <w:spacing w:after="0" w:line="24"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7"/>
          <w:szCs w:val="17"/>
          <w:color w:val="auto"/>
        </w:rPr>
        <w:t>By:</w:t>
        <w:tab/>
        <w:t>/s/ John D. Morberg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30778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3077845" cy="8255"/>
                    </a:xfrm>
                    <a:prstGeom prst="rect">
                      <a:avLst/>
                    </a:prstGeom>
                    <a:noFill/>
                  </pic:spPr>
                </pic:pic>
              </a:graphicData>
            </a:graphic>
          </wp:anchor>
        </w:drawing>
      </w:r>
    </w:p>
    <w:p>
      <w:pPr>
        <w:spacing w:after="0" w:line="17"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John D. Morberg</w:t>
      </w:r>
    </w:p>
    <w:p>
      <w:pPr>
        <w:spacing w:after="0" w:line="24" w:lineRule="exact"/>
        <w:rPr>
          <w:sz w:val="20"/>
          <w:szCs w:val="20"/>
          <w:color w:val="auto"/>
        </w:rPr>
      </w:pPr>
    </w:p>
    <w:p>
      <w:pPr>
        <w:ind w:left="5920"/>
        <w:spacing w:after="0"/>
        <w:rPr>
          <w:sz w:val="20"/>
          <w:szCs w:val="20"/>
          <w:color w:val="auto"/>
        </w:rPr>
      </w:pPr>
      <w:r>
        <w:rPr>
          <w:rFonts w:ascii="Arial" w:cs="Arial" w:eastAsia="Arial" w:hAnsi="Arial"/>
          <w:sz w:val="17"/>
          <w:szCs w:val="17"/>
          <w:i w:val="1"/>
          <w:iCs w:val="1"/>
          <w:color w:val="auto"/>
        </w:rPr>
        <w:t>Chief Financial Officer</w:t>
      </w:r>
    </w:p>
    <w:p>
      <w:pPr>
        <w:spacing w:after="0" w:line="24" w:lineRule="exact"/>
        <w:rPr>
          <w:sz w:val="20"/>
          <w:szCs w:val="20"/>
          <w:color w:val="auto"/>
        </w:rPr>
      </w:pPr>
    </w:p>
    <w:p>
      <w:pPr>
        <w:ind w:left="5920"/>
        <w:spacing w:after="0"/>
        <w:rPr>
          <w:sz w:val="20"/>
          <w:szCs w:val="20"/>
          <w:color w:val="auto"/>
        </w:rPr>
      </w:pPr>
      <w:r>
        <w:rPr>
          <w:rFonts w:ascii="Arial" w:cs="Arial" w:eastAsia="Arial" w:hAnsi="Arial"/>
          <w:sz w:val="17"/>
          <w:szCs w:val="17"/>
          <w:i w:val="1"/>
          <w:iCs w:val="1"/>
          <w:color w:val="auto"/>
        </w:rPr>
        <w:t>(Principal Financial Officer and Principal Accounting Officer)</w:t>
      </w:r>
    </w:p>
    <w:p>
      <w:pPr>
        <w:sectPr>
          <w:pgSz w:w="11900" w:h="16838" w:orient="portrait"/>
          <w:cols w:equalWidth="0" w:num="1">
            <w:col w:w="11240"/>
          </w:cols>
          <w:pgMar w:left="320" w:top="856"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32.1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8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connection with the Annual Report of Landec Corporation (the “Company”) on Form 10-K/A for the period ended May 29, 2022, as filed with the Securities and Exchange Commission on the date hereof (the “Report”), I, James G. Hall, Chief Executive Officer and President of the Company, certify, pursuant to 18 U.S.C. § 1350, as adopted pursuant to § 906 of the Sarbanes-Oxley Act of 2002, that:</w:t>
      </w:r>
    </w:p>
    <w:p>
      <w:pPr>
        <w:spacing w:after="0" w:line="136" w:lineRule="exact"/>
        <w:rPr>
          <w:sz w:val="20"/>
          <w:szCs w:val="20"/>
          <w:color w:val="auto"/>
        </w:rPr>
      </w:pPr>
    </w:p>
    <w:p>
      <w:pPr>
        <w:ind w:left="560" w:hanging="24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8" w:lineRule="exact"/>
        <w:rPr>
          <w:rFonts w:ascii="Arial" w:cs="Arial" w:eastAsia="Arial" w:hAnsi="Arial"/>
          <w:sz w:val="17"/>
          <w:szCs w:val="17"/>
          <w:color w:val="auto"/>
        </w:rPr>
      </w:pPr>
    </w:p>
    <w:p>
      <w:pPr>
        <w:ind w:left="320" w:right="720" w:hanging="7"/>
        <w:spacing w:after="0" w:line="530" w:lineRule="auto"/>
        <w:tabs>
          <w:tab w:leader="none" w:pos="54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March 16, 2023</w:t>
      </w:r>
    </w:p>
    <w:tbl>
      <w:tblPr>
        <w:tblLayout w:type="fixed"/>
        <w:tblInd w:w="5700" w:type="dxa"/>
        <w:tblCellMar>
          <w:top w:w="0" w:type="dxa"/>
          <w:left w:w="0" w:type="dxa"/>
          <w:bottom w:w="0" w:type="dxa"/>
          <w:right w:w="0" w:type="dxa"/>
        </w:tblCellMar>
      </w:tblPr>
      <w:tr>
        <w:trPr>
          <w:trHeight w:val="218"/>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James G. Hall</w:t>
            </w:r>
          </w:p>
        </w:tc>
      </w:tr>
      <w:tr>
        <w:trPr>
          <w:trHeight w:val="211"/>
        </w:trPr>
        <w:tc>
          <w:tcPr>
            <w:tcW w:w="5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Arial" w:cs="Arial" w:eastAsia="Arial" w:hAnsi="Arial"/>
                <w:sz w:val="17"/>
                <w:szCs w:val="17"/>
                <w:color w:val="auto"/>
              </w:rPr>
              <w:t>James G. Hall</w:t>
            </w:r>
          </w:p>
        </w:tc>
      </w:tr>
      <w:tr>
        <w:trPr>
          <w:trHeight w:val="219"/>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7"/>
                <w:szCs w:val="17"/>
                <w:i w:val="1"/>
                <w:iCs w:val="1"/>
                <w:color w:val="auto"/>
              </w:rPr>
              <w:t>President and Chief Executive Officer</w:t>
            </w:r>
          </w:p>
        </w:tc>
      </w:tr>
      <w:tr>
        <w:trPr>
          <w:trHeight w:val="219"/>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7"/>
                <w:szCs w:val="17"/>
                <w:i w:val="1"/>
                <w:iCs w:val="1"/>
                <w:color w:val="auto"/>
              </w:rPr>
              <w:t>(Principal Executive Officer)</w:t>
            </w:r>
          </w:p>
        </w:tc>
      </w:tr>
    </w:tbl>
    <w:p>
      <w:pPr>
        <w:spacing w:after="0" w:line="247" w:lineRule="exact"/>
        <w:rPr>
          <w:sz w:val="20"/>
          <w:szCs w:val="20"/>
          <w:color w:val="auto"/>
        </w:rPr>
      </w:pPr>
    </w:p>
    <w:p>
      <w:pPr>
        <w:ind w:left="320" w:right="460" w:hanging="317"/>
        <w:spacing w:after="0" w:line="312" w:lineRule="auto"/>
        <w:tabs>
          <w:tab w:leader="none" w:pos="26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sectPr>
          <w:pgSz w:w="11900" w:h="16838" w:orient="portrait"/>
          <w:cols w:equalWidth="0" w:num="1">
            <w:col w:w="11240"/>
          </w:cols>
          <w:pgMar w:left="320" w:top="856"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Exhibit 32.2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8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 connection with the Annual Report of Landec Corporation (the “Company”) on Form 10-K/A for the period ended May 29, 2022, as filed with the Securities and Exchange Commission on the date hereof (the “Report”), I, John D. Morberg, Chief Financial Officer of the Company, certify, pursuant to 18 U.S.C.</w:t>
      </w:r>
    </w:p>
    <w:p>
      <w:pPr>
        <w:spacing w:after="0" w:line="1" w:lineRule="exact"/>
        <w:rPr>
          <w:sz w:val="20"/>
          <w:szCs w:val="20"/>
          <w:color w:val="auto"/>
        </w:rPr>
      </w:pPr>
    </w:p>
    <w:p>
      <w:pPr>
        <w:ind w:left="140" w:hanging="137"/>
        <w:spacing w:after="0"/>
        <w:tabs>
          <w:tab w:leader="none" w:pos="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1350, as adopted pursuant to § 906 of the Sarbanes-Oxley Act of 2002, that:</w:t>
      </w:r>
    </w:p>
    <w:p>
      <w:pPr>
        <w:spacing w:after="0" w:line="167" w:lineRule="exact"/>
        <w:rPr>
          <w:rFonts w:ascii="Arial" w:cs="Arial" w:eastAsia="Arial" w:hAnsi="Arial"/>
          <w:sz w:val="17"/>
          <w:szCs w:val="17"/>
          <w:color w:val="auto"/>
        </w:rPr>
      </w:pPr>
    </w:p>
    <w:p>
      <w:pPr>
        <w:ind w:left="560" w:hanging="247"/>
        <w:spacing w:after="0"/>
        <w:tabs>
          <w:tab w:leader="none" w:pos="5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8" w:lineRule="exact"/>
        <w:rPr>
          <w:rFonts w:ascii="Arial" w:cs="Arial" w:eastAsia="Arial" w:hAnsi="Arial"/>
          <w:sz w:val="17"/>
          <w:szCs w:val="17"/>
          <w:color w:val="auto"/>
        </w:rPr>
      </w:pPr>
    </w:p>
    <w:p>
      <w:pPr>
        <w:ind w:left="320" w:right="720" w:hanging="7"/>
        <w:spacing w:after="0" w:line="522" w:lineRule="auto"/>
        <w:tabs>
          <w:tab w:leader="none" w:pos="546"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March 16, 2023</w:t>
      </w:r>
    </w:p>
    <w:p>
      <w:pPr>
        <w:spacing w:after="0" w:line="1" w:lineRule="exact"/>
        <w:rPr>
          <w:sz w:val="20"/>
          <w:szCs w:val="20"/>
          <w:color w:val="auto"/>
        </w:rPr>
      </w:pPr>
    </w:p>
    <w:tbl>
      <w:tblPr>
        <w:tblLayout w:type="fixed"/>
        <w:tblInd w:w="5700" w:type="dxa"/>
        <w:tblCellMar>
          <w:top w:w="0" w:type="dxa"/>
          <w:left w:w="0" w:type="dxa"/>
          <w:bottom w:w="0" w:type="dxa"/>
          <w:right w:w="0" w:type="dxa"/>
        </w:tblCellMar>
      </w:tblPr>
      <w:tr>
        <w:trPr>
          <w:trHeight w:val="218"/>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John D. Morberg</w:t>
            </w:r>
          </w:p>
        </w:tc>
      </w:tr>
      <w:tr>
        <w:trPr>
          <w:trHeight w:val="211"/>
        </w:trPr>
        <w:tc>
          <w:tcPr>
            <w:tcW w:w="52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7"/>
                <w:szCs w:val="17"/>
                <w:color w:val="auto"/>
              </w:rPr>
              <w:t>John D. Morberg</w:t>
            </w:r>
          </w:p>
        </w:tc>
      </w:tr>
      <w:tr>
        <w:trPr>
          <w:trHeight w:val="219"/>
        </w:trPr>
        <w:tc>
          <w:tcPr>
            <w:tcW w:w="52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w:t>
            </w:r>
          </w:p>
        </w:tc>
      </w:tr>
      <w:tr>
        <w:trPr>
          <w:trHeight w:val="219"/>
        </w:trPr>
        <w:tc>
          <w:tcPr>
            <w:tcW w:w="52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Arial" w:cs="Arial" w:eastAsia="Arial" w:hAnsi="Arial"/>
                <w:sz w:val="17"/>
                <w:szCs w:val="17"/>
                <w:i w:val="1"/>
                <w:iCs w:val="1"/>
                <w:color w:val="auto"/>
                <w:w w:val="98"/>
              </w:rPr>
              <w:t>(Principal Financial Officer and Principal Accounting Officer)</w:t>
            </w:r>
          </w:p>
        </w:tc>
      </w:tr>
    </w:tbl>
    <w:p>
      <w:pPr>
        <w:spacing w:after="0" w:line="273" w:lineRule="exact"/>
        <w:rPr>
          <w:sz w:val="20"/>
          <w:szCs w:val="20"/>
          <w:color w:val="auto"/>
        </w:rPr>
      </w:pPr>
    </w:p>
    <w:p>
      <w:pPr>
        <w:ind w:left="320" w:right="460" w:hanging="317"/>
        <w:spacing w:after="0" w:line="312" w:lineRule="auto"/>
        <w:tabs>
          <w:tab w:leader="none" w:pos="2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lowerRoman"/>
      <w:start w:val="1"/>
    </w:lvl>
  </w:abstractNum>
  <w:abstractNum w:abstractNumId="3">
    <w:nsid w:val="257130A3"/>
    <w:multiLevelType w:val="hybridMultilevel"/>
    <w:lvl w:ilvl="0">
      <w:lvlJc w:val="left"/>
      <w:lvlText w:val="(%1)"/>
      <w:numFmt w:val="lowerRoman"/>
      <w:start w:val="3"/>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emdash "/>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lowerRoman"/>
      <w:start w:val="1"/>
    </w:lvl>
  </w:abstractNum>
  <w:abstractNum w:abstractNumId="19">
    <w:nsid w:val="71F32454"/>
    <w:multiLevelType w:val="hybridMultilevel"/>
    <w:lvl w:ilvl="0">
      <w:lvlJc w:val="left"/>
      <w:lvlText w:val="%1."/>
      <w:numFmt w:val="decimal"/>
      <w:start w:val="2"/>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5"/>
    </w:lvl>
  </w:abstractNum>
  <w:abstractNum w:abstractNumId="22">
    <w:nsid w:val="2901D82"/>
    <w:multiLevelType w:val="hybridMultilevel"/>
    <w:lvl w:ilvl="0">
      <w:lvlJc w:val="left"/>
      <w:lvlText w:val="%1."/>
      <w:numFmt w:val="decimal"/>
      <w:start w:val="9"/>
    </w:lvl>
  </w:abstractNum>
  <w:abstractNum w:abstractNumId="23">
    <w:nsid w:val="3A95F874"/>
    <w:multiLevelType w:val="hybridMultilevel"/>
    <w:lvl w:ilvl="0">
      <w:lvlJc w:val="left"/>
      <w:lvlText w:val="(%1)"/>
      <w:numFmt w:val="lowerRoman"/>
      <w:start w:val="1"/>
    </w:lvl>
  </w:abstractNum>
  <w:abstractNum w:abstractNumId="24">
    <w:nsid w:val="8138641"/>
    <w:multiLevelType w:val="hybridMultilevel"/>
    <w:lvl w:ilvl="0">
      <w:lvlJc w:val="left"/>
      <w:lvlText w:val="(%1)"/>
      <w:numFmt w:val="lowerLetter"/>
      <w:start w:val="2"/>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lvl w:ilvl="1">
      <w:lvlJc w:val="left"/>
      <w:lvlText w:val="(%2)"/>
      <w:numFmt w:val="lowerLetter"/>
      <w:start w:val="1"/>
    </w:lvl>
  </w:abstractNum>
  <w:abstractNum w:abstractNumId="30">
    <w:nsid w:val="4516DDE9"/>
    <w:multiLevelType w:val="hybridMultilevel"/>
    <w:lvl w:ilvl="0">
      <w:lvlJc w:val="left"/>
      <w:lvlText w:val="%1."/>
      <w:numFmt w:val="decimal"/>
      <w:start w:val="1"/>
    </w:lvl>
    <w:lvl w:ilvl="1">
      <w:lvlJc w:val="left"/>
      <w:lvlText w:val="(%2)"/>
      <w:numFmt w:val="lowerLetter"/>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lvl w:ilvl="1">
      <w:lvlJc w:val="left"/>
      <w:lvlText w:val="(%2)"/>
      <w:numFmt w:val="decimal"/>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3" Type="http://schemas.openxmlformats.org/officeDocument/2006/relationships/image" Target="media/image123.png"/><Relationship Id="rId158"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30" Type="http://schemas.openxmlformats.org/officeDocument/2006/relationships/hyperlink" Target="https://www.sec.gov/Archives/edgar/data/0001005286/000100528621000070/taylorcuration2021apa.htm" TargetMode="External"/><Relationship Id="rId131" Type="http://schemas.openxmlformats.org/officeDocument/2006/relationships/hyperlink" Target="http://www.sec.gov/Archives/edgar/data/1005286/000115752308009084/a5824739ex3-1.htm" TargetMode="External"/><Relationship Id="rId132" Type="http://schemas.openxmlformats.org/officeDocument/2006/relationships/hyperlink" Target="http://www.sec.gov/Archives/edgar/data/1005286/000143774912010333/ex3-1.htm" TargetMode="External"/><Relationship Id="rId133" Type="http://schemas.openxmlformats.org/officeDocument/2006/relationships/hyperlink" Target="http://www.sec.gov/Archives/edgar/data/1005286/000162828019005963/ex-31.htm" TargetMode="External"/><Relationship Id="rId134" Type="http://schemas.openxmlformats.org/officeDocument/2006/relationships/hyperlink" Target="http://www.sec.gov/Archives/edgar/data/1005286/000162828019007183/ex-31.htm" TargetMode="External"/><Relationship Id="rId135" Type="http://schemas.openxmlformats.org/officeDocument/2006/relationships/hyperlink" Target="https://www.sec.gov/Archives/edgar/data/0001005286/000100528620000022/amendmentno3toby-lawso.htm" TargetMode="External"/><Relationship Id="rId136" Type="http://schemas.openxmlformats.org/officeDocument/2006/relationships/hyperlink" Target="http://www.sec.gov/Archives/edgar/data/1005286/000100528622000047/lndc-ex41xdescriptionofcap.htm" TargetMode="External"/><Relationship Id="rId137" Type="http://schemas.openxmlformats.org/officeDocument/2006/relationships/hyperlink" Target="http://www.sec.gov/Archives/edgar/data/1005286/000143774918018379/ex_125603.htm" TargetMode="External"/><Relationship Id="rId138" Type="http://schemas.openxmlformats.org/officeDocument/2006/relationships/hyperlink" Target="http://www.sec.gov/Archives/edgar/data/1005286/000143774913009690/lndc20130731b_8k.htm" TargetMode="External"/><Relationship Id="rId139" Type="http://schemas.openxmlformats.org/officeDocument/2006/relationships/hyperlink" Target="http://www.sec.gov/Archives/edgar/data/1005286/000143774913013017/ex99-1.htm" TargetMode="External"/><Relationship Id="rId140" Type="http://schemas.openxmlformats.org/officeDocument/2006/relationships/hyperlink" Target="http://www.sec.gov/Archives/edgar/data/1005286/000143774917017412/ex_97260.htm" TargetMode="External"/><Relationship Id="rId141" Type="http://schemas.openxmlformats.org/officeDocument/2006/relationships/hyperlink" Target="https://www.sec.gov/Archives/edgar/data/1005286/000162828019012438/exhibit_991.htm" TargetMode="External"/><Relationship Id="rId142" Type="http://schemas.openxmlformats.org/officeDocument/2006/relationships/hyperlink" Target="http://www.sec.gov/Archives/edgar/data/1005286/000143774917012967/lndc20170721_8k.htm" TargetMode="External"/><Relationship Id="rId144" Type="http://schemas.openxmlformats.org/officeDocument/2006/relationships/hyperlink" Target="http://www.sec.gov/Archives/edgar/data/1005286/000143774918013926/lndc20180726_8k.htm" TargetMode="External"/><Relationship Id="rId145" Type="http://schemas.openxmlformats.org/officeDocument/2006/relationships/hyperlink" Target="http://www.sec.gov/Archives/edgar/data/1005286/000143774917008612/ex10-1.htm" TargetMode="External"/><Relationship Id="rId146" Type="http://schemas.openxmlformats.org/officeDocument/2006/relationships/hyperlink" Target="http://www.sec.gov/Archives/edgar/data/1005286/000143774918008292/ex_112135.htm" TargetMode="External"/><Relationship Id="rId147" Type="http://schemas.openxmlformats.org/officeDocument/2006/relationships/hyperlink" Target="http://www.sec.gov/Archives/edgar/data/1005286/000143774918010718/ex_115388.htm" TargetMode="External"/><Relationship Id="rId148" Type="http://schemas.openxmlformats.org/officeDocument/2006/relationships/hyperlink" Target="http://www.sec.gov/Archives/edgar/data/1005286/000143774918021662/ex_127301.htm" TargetMode="External"/><Relationship Id="rId149" Type="http://schemas.openxmlformats.org/officeDocument/2006/relationships/hyperlink" Target="https://www.sec.gov/Archives/edgar/data/1005286/000100528620000004/lndc-exhibit1039xexecu.htm" TargetMode="External"/><Relationship Id="rId150" Type="http://schemas.openxmlformats.org/officeDocument/2006/relationships/hyperlink" Target="https://www.sec.gov/Archives/edgar/data/1005286/000100528621000003/lndcex101xgscreditandguara.htm" TargetMode="External"/><Relationship Id="rId151" Type="http://schemas.openxmlformats.org/officeDocument/2006/relationships/hyperlink" Target="https://www.sec.gov/Archives/edgar/data/1005286/000100528621000003/lndcex102xbmocreditagreeme.htm" TargetMode="External"/><Relationship Id="rId152" Type="http://schemas.openxmlformats.org/officeDocument/2006/relationships/hyperlink" Target="https://www.sec.gov/Archives/edgar/data/1005286/000100528621000003/lndcex103xgspledgeandsecur.htm" TargetMode="External"/><Relationship Id="rId153" Type="http://schemas.openxmlformats.org/officeDocument/2006/relationships/hyperlink" Target="https://www.sec.gov/Archives/edgar/data/1005286/000100528621000003/lndcex104xbmopledgeandsecu.htm" TargetMode="External"/><Relationship Id="rId154" Type="http://schemas.openxmlformats.org/officeDocument/2006/relationships/hyperlink" Target="https://www.sec.gov/Archives/edgar/data/1005286/000100528621000012/0001005286-21-000012-index.htm" TargetMode="External"/><Relationship Id="rId155" Type="http://schemas.openxmlformats.org/officeDocument/2006/relationships/hyperlink" Target="https://www.sec.gov/Archives/edgar/data/1005286/000100528621000015/exhibit101.htm" TargetMode="External"/><Relationship Id="rId156" Type="http://schemas.openxmlformats.org/officeDocument/2006/relationships/hyperlink" Target="https://www.sec.gov/Archives/edgar/data/1005286/000100528621000022/exhibit101-landecdkimballs.htm" TargetMode="External"/><Relationship Id="rId157" Type="http://schemas.openxmlformats.org/officeDocument/2006/relationships/hyperlink" Target="https://www.sec.gov/Archives/edgar/data/0001005286/000100528621000061/burgess_separationagreemen.htm" TargetMode="External"/><Relationship Id="rId159" Type="http://schemas.openxmlformats.org/officeDocument/2006/relationships/hyperlink" Target="https://www.sec.gov/Archives/edgar/data/1005286/000100528621000036/exhibit101-sharepurchaseag.htm" TargetMode="External"/><Relationship Id="rId160" Type="http://schemas.openxmlformats.org/officeDocument/2006/relationships/hyperlink" Target="https://www.sec.gov/Archives/edgar/data/1005286/000100528620000020/ex101landec-arceoemplo.htm" TargetMode="External"/><Relationship Id="rId161" Type="http://schemas.openxmlformats.org/officeDocument/2006/relationships/hyperlink" Target="http://www.sec.gov/Archives/edgar/data/1005286/000100528622000047/exh211subsidiariesofthere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2023-03-16T15:42:24Z</dcterms:created>
  <dcterms:modified xsi:type="dcterms:W3CDTF">2023-03-16T15:42:24Z</dcterms:modified>
</cp:coreProperties>
</file>