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2"/>
        </w:rPr>
      </w:pPr>
      <w:r>
        <w:rPr>
          <w:rFonts w:ascii="Times New Roman;serif" w:hAnsi="Times New Roman;serif"/>
          <w:b w:val="false"/>
          <w:color w:val="000000"/>
          <w:sz w:val="22"/>
        </w:rPr>
        <w:t>UNITED STATES SECURITIES AND EXCHANGE COMMISSION</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200" w:after="20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200" w:after="200"/>
        <w:jc w:val="both"/>
        <w:rPr/>
      </w:pPr>
      <w:r>
        <w:rPr>
          <w:color w:val="000000"/>
        </w:rPr>
        <w:t xml:space="preserve">☒ </w:t>
      </w:r>
      <w:r>
        <w:rPr>
          <w:rFonts w:ascii="Times New Roman;serif" w:hAnsi="Times New Roman;serif"/>
          <w:b w:val="false"/>
          <w:color w:val="000000"/>
          <w:sz w:val="22"/>
        </w:rPr>
        <w:t>QUARTERLY REPORT PURSUANT TO SECTION 13 OR 15(d) OF THE SECURITIES EXCHANGE ACT OF 1934</w:t>
      </w:r>
    </w:p>
    <w:p>
      <w:pPr>
        <w:pStyle w:val="TextBody"/>
        <w:bidi w:val="0"/>
        <w:spacing w:lineRule="auto" w:line="288" w:before="200" w:after="200"/>
        <w:ind w:left="0" w:right="0" w:firstLine="180"/>
        <w:jc w:val="center"/>
        <w:rPr/>
      </w:pPr>
      <w:r>
        <w:rPr>
          <w:rFonts w:ascii="Times New Roman;serif" w:hAnsi="Times New Roman;serif"/>
          <w:b w:val="false"/>
          <w:color w:val="000000"/>
          <w:sz w:val="22"/>
        </w:rPr>
        <w:t xml:space="preserve">For the quarterly period ended </w:t>
      </w:r>
      <w:r>
        <w:rPr>
          <w:rFonts w:ascii="Times New Roman;serif" w:hAnsi="Times New Roman;serif"/>
          <w:b/>
          <w:color w:val="000000"/>
          <w:sz w:val="22"/>
        </w:rPr>
        <w:t>June 30, 2026</w:t>
      </w:r>
      <w:r>
        <w:rPr>
          <w:rFonts w:ascii="Times New Roman;serif" w:hAnsi="Times New Roman;serif"/>
          <w:b w:val="false"/>
          <w:color w:val="000000"/>
          <w:sz w:val="22"/>
        </w:rPr>
        <w:t>, or</w:t>
      </w:r>
    </w:p>
    <w:p>
      <w:pPr>
        <w:pStyle w:val="TextBody"/>
        <w:bidi w:val="0"/>
        <w:spacing w:lineRule="auto" w:line="288" w:before="200" w:after="200"/>
        <w:jc w:val="center"/>
        <w:rPr>
          <w:color w:val="000000"/>
        </w:rPr>
      </w:pPr>
      <w:r>
        <w:rPr>
          <w:color w:val="000000"/>
        </w:rPr>
        <w:t xml:space="preserve">☐ </w:t>
      </w:r>
      <w:r>
        <w:rPr>
          <w:rFonts w:ascii="Times New Roman;serif" w:hAnsi="Times New Roman;serif"/>
          <w:b w:val="false"/>
          <w:color w:val="000000"/>
          <w:sz w:val="22"/>
        </w:rPr>
        <w:t>TRANSITION REPORT PURSUANT TO SECTION 13 OR 15(d) OF THE SECURITIES EXCHANGE ACT OF 1934</w:t>
      </w:r>
    </w:p>
    <w:p>
      <w:pPr>
        <w:pStyle w:val="TextBody"/>
        <w:bidi w:val="0"/>
        <w:spacing w:lineRule="auto" w:line="288" w:before="200" w:after="200"/>
        <w:jc w:val="center"/>
        <w:rPr>
          <w:rFonts w:ascii="Times New Roman;serif" w:hAnsi="Times New Roman;serif"/>
          <w:b w:val="false"/>
          <w:color w:val="000000"/>
          <w:sz w:val="22"/>
        </w:rPr>
      </w:pPr>
      <w:r>
        <w:rPr>
          <w:rFonts w:ascii="Times New Roman;serif" w:hAnsi="Times New Roman;serif"/>
          <w:b w:val="false"/>
          <w:color w:val="000000"/>
          <w:sz w:val="22"/>
        </w:rPr>
        <w:t>For the transition period from _________ to _________.</w:t>
      </w:r>
    </w:p>
    <w:p>
      <w:pPr>
        <w:pStyle w:val="TextBody"/>
        <w:bidi w:val="0"/>
        <w:spacing w:lineRule="auto" w:line="288" w:before="200" w:after="200"/>
        <w:jc w:val="center"/>
        <w:rPr/>
      </w:pPr>
      <w:r>
        <w:rPr>
          <w:rFonts w:ascii="Times New Roman;serif" w:hAnsi="Times New Roman;serif"/>
          <w:b w:val="false"/>
          <w:color w:val="000000"/>
          <w:sz w:val="22"/>
        </w:rPr>
        <w:t xml:space="preserve">Commission file number: </w:t>
      </w:r>
      <w:r>
        <w:rPr>
          <w:rFonts w:ascii="Times New Roman;serif" w:hAnsi="Times New Roman;serif"/>
          <w:b/>
          <w:color w:val="000000"/>
          <w:sz w:val="22"/>
        </w:rPr>
        <w:t>000-27446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LIFECORE BIOMEDICAL, INC.</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8354" w:type="dxa"/>
        <w:jc w:val="center"/>
        <w:tblInd w:w="0" w:type="dxa"/>
        <w:tblLayout w:type="fixed"/>
        <w:tblCellMar>
          <w:top w:w="28" w:type="dxa"/>
          <w:left w:w="28" w:type="dxa"/>
          <w:bottom w:w="28" w:type="dxa"/>
          <w:right w:w="28" w:type="dxa"/>
        </w:tblCellMar>
      </w:tblPr>
      <w:tblGrid>
        <w:gridCol w:w="1795"/>
        <w:gridCol w:w="1577"/>
        <w:gridCol w:w="1593"/>
        <w:gridCol w:w="990"/>
        <w:gridCol w:w="990"/>
        <w:gridCol w:w="1409"/>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94-3025618</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tbl>
      <w:tblPr>
        <w:tblW w:w="4334" w:type="dxa"/>
        <w:jc w:val="center"/>
        <w:tblInd w:w="0" w:type="dxa"/>
        <w:tblLayout w:type="fixed"/>
        <w:tblCellMar>
          <w:top w:w="28" w:type="dxa"/>
          <w:left w:w="28" w:type="dxa"/>
          <w:bottom w:w="28" w:type="dxa"/>
          <w:right w:w="28" w:type="dxa"/>
        </w:tblCellMar>
      </w:tblPr>
      <w:tblGrid>
        <w:gridCol w:w="610"/>
        <w:gridCol w:w="535"/>
        <w:gridCol w:w="535"/>
        <w:gridCol w:w="535"/>
        <w:gridCol w:w="535"/>
        <w:gridCol w:w="549"/>
        <w:gridCol w:w="303"/>
        <w:gridCol w:w="303"/>
        <w:gridCol w:w="429"/>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6"/>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3515 Lyman Boulevard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Chaska,</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55318</w:t>
            </w:r>
          </w:p>
        </w:tc>
      </w:tr>
      <w:tr>
        <w:trPr/>
        <w:tc>
          <w:tcPr>
            <w:tcW w:w="329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(952) 368-4300</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552" w:type="dxa"/>
        <w:jc w:val="left"/>
        <w:tblInd w:w="0" w:type="dxa"/>
        <w:tblLayout w:type="fixed"/>
        <w:tblCellMar>
          <w:top w:w="28" w:type="dxa"/>
          <w:left w:w="28" w:type="dxa"/>
          <w:bottom w:w="28" w:type="dxa"/>
          <w:right w:w="28" w:type="dxa"/>
        </w:tblCellMar>
      </w:tblPr>
      <w:tblGrid>
        <w:gridCol w:w="1583"/>
        <w:gridCol w:w="1383"/>
        <w:gridCol w:w="1398"/>
        <w:gridCol w:w="474"/>
        <w:gridCol w:w="474"/>
        <w:gridCol w:w="476"/>
        <w:gridCol w:w="1102"/>
        <w:gridCol w:w="1102"/>
        <w:gridCol w:w="1560"/>
      </w:tblGrid>
      <w:tr>
        <w:trPr/>
        <w:tc>
          <w:tcPr>
            <w:tcW w:w="15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u w:val="single"/>
              </w:rPr>
            </w:pPr>
            <w:r>
              <w:rPr>
                <w:color w:val="000000"/>
                <w:u w:val="single"/>
              </w:rPr>
              <w:t> </w:t>
            </w:r>
            <w:r>
              <w:rPr>
                <w:rFonts w:ascii="Times New Roman;serif" w:hAnsi="Times New Roman;serif"/>
                <w:b w:val="false"/>
                <w:color w:val="000000"/>
                <w:sz w:val="20"/>
                <w:u w:val="single"/>
              </w:rPr>
              <w:t>Title of each class </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u w:val="single"/>
              </w:rPr>
            </w:pPr>
            <w:r>
              <w:rPr>
                <w:color w:val="000000"/>
                <w:u w:val="single"/>
              </w:rPr>
              <w:t> </w:t>
            </w:r>
            <w:r>
              <w:rPr>
                <w:rFonts w:ascii="Times New Roman;serif" w:hAnsi="Times New Roman;serif"/>
                <w:b w:val="false"/>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Common Stock, par value $0.001 per share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LFCR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NASDAQ Global Select Market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00"/>
        <w:jc w:val="both"/>
        <w:rPr/>
      </w:pPr>
      <w:r>
        <w:rPr>
          <w:rFonts w:ascii="Times New Roman;serif" w:hAnsi="Times New Roman;serif"/>
          <w:b w:val="false"/>
          <w:color w:val="000000"/>
          <w:sz w:val="22"/>
        </w:rPr>
        <w:t>Indicate by check mark whether the registrant has submitted electronically every Interactive Data File required to be submitted pursuant to Rule 405 of Regulation S-T (</w:t>
      </w:r>
      <w:r>
        <w:rPr>
          <w:rFonts w:ascii="null;sans-serif" w:hAnsi="null;sans-serif"/>
          <w:b w:val="false"/>
          <w:color w:val="000000"/>
          <w:sz w:val="22"/>
        </w:rPr>
        <w:t>§</w:t>
      </w:r>
      <w:r>
        <w:rPr>
          <w:rFonts w:ascii="Times New Roman;serif" w:hAnsi="Times New Roman;serif"/>
          <w:b w:val="false"/>
          <w:color w:val="000000"/>
          <w:sz w:val="22"/>
        </w:rPr>
        <w:t>232.405 of this chapter) during the preceding 12 months (or for such shorter period that the registrant was required to submit such files). Yes ☒ No ☐</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tbl>
      <w:tblPr>
        <w:tblW w:w="6227" w:type="dxa"/>
        <w:jc w:val="left"/>
        <w:tblInd w:w="0" w:type="dxa"/>
        <w:tblLayout w:type="fixed"/>
        <w:tblCellMar>
          <w:top w:w="28" w:type="dxa"/>
          <w:left w:w="28" w:type="dxa"/>
          <w:bottom w:w="28" w:type="dxa"/>
          <w:right w:w="28" w:type="dxa"/>
        </w:tblCellMar>
      </w:tblPr>
      <w:tblGrid>
        <w:gridCol w:w="798"/>
        <w:gridCol w:w="702"/>
        <w:gridCol w:w="704"/>
        <w:gridCol w:w="109"/>
        <w:gridCol w:w="109"/>
        <w:gridCol w:w="109"/>
        <w:gridCol w:w="109"/>
        <w:gridCol w:w="109"/>
        <w:gridCol w:w="109"/>
        <w:gridCol w:w="109"/>
        <w:gridCol w:w="109"/>
        <w:gridCol w:w="109"/>
        <w:gridCol w:w="889"/>
        <w:gridCol w:w="889"/>
        <w:gridCol w:w="892"/>
        <w:gridCol w:w="109"/>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pPr>
      <w:r>
        <w:rPr>
          <w:rFonts w:ascii="Times New Roman;serif" w:hAnsi="Times New Roman;serif"/>
          <w:b w:val="false"/>
          <w:color w:val="000000"/>
          <w:sz w:val="22"/>
        </w:rPr>
        <w:t>Indicate by check mark whether the registrant is a shell company (as defined in Rule 12b-2 of the Act). Yes</w:t>
      </w:r>
      <w:r>
        <w:rPr>
          <w:color w:val="000000"/>
        </w:rPr>
        <w:t> ☐ </w:t>
      </w:r>
      <w:r>
        <w:rPr>
          <w:rFonts w:ascii="Times New Roman;serif" w:hAnsi="Times New Roman;serif"/>
          <w:b w:val="false"/>
          <w:color w:val="000000"/>
          <w:sz w:val="22"/>
        </w:rPr>
        <w:t>No</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As of July 29, 2026, there were 37,853,060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TABLE OF CONTENTS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0"/>
        <w:gridCol w:w="296"/>
        <w:gridCol w:w="300"/>
        <w:gridCol w:w="109"/>
        <w:gridCol w:w="109"/>
        <w:gridCol w:w="109"/>
        <w:gridCol w:w="2674"/>
        <w:gridCol w:w="2670"/>
        <w:gridCol w:w="2698"/>
        <w:gridCol w:w="109"/>
        <w:gridCol w:w="109"/>
        <w:gridCol w:w="109"/>
        <w:gridCol w:w="167"/>
        <w:gridCol w:w="167"/>
        <w:gridCol w:w="239"/>
      </w:tblGrid>
      <w:tr>
        <w:trPr/>
        <w:tc>
          <w:tcPr>
            <w:tcW w:w="3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Item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if960e4e3e02f4b2baa760ab420b41f9b_2128">
              <w:r>
                <w:rPr>
                  <w:rStyle w:val="InternetLink"/>
                  <w:rFonts w:ascii="Times New Roman;serif" w:hAnsi="Times New Roman;serif"/>
                  <w:b/>
                  <w:color w:val="0000FF"/>
                  <w:sz w:val="22"/>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if960e4e3e02f4b2baa760ab420b41f9b_2128">
              <w:r>
                <w:rPr>
                  <w:rStyle w:val="InternetLink"/>
                  <w:rFonts w:ascii="Times New Roman;serif" w:hAnsi="Times New Roman;serif"/>
                  <w:b/>
                  <w:color w:val="000080"/>
                  <w:sz w:val="22"/>
                  <w:u w:val="single"/>
                </w:rPr>
                <w:t xml:space="preserve">Financial </w:t>
              </w:r>
            </w:hyperlink>
            <w:hyperlink w:anchor="if960e4e3e02f4b2baa760ab420b41f9b_2128">
              <w:r>
                <w:rPr>
                  <w:rStyle w:val="InternetLink"/>
                  <w:rFonts w:ascii="Times New Roman;serif" w:hAnsi="Times New Roman;serif"/>
                  <w:b/>
                  <w:color w:val="000080"/>
                  <w:sz w:val="22"/>
                  <w:u w:val="single"/>
                </w:rPr>
                <w:t>i</w:t>
              </w:r>
            </w:hyperlink>
            <w:hyperlink w:anchor="if960e4e3e02f4b2baa760ab420b41f9b_2128">
              <w:r>
                <w:rPr>
                  <w:rStyle w:val="InternetLink"/>
                  <w:rFonts w:ascii="Times New Roman;serif" w:hAnsi="Times New Roman;serif"/>
                  <w:b/>
                  <w:color w:val="000080"/>
                  <w:sz w:val="22"/>
                  <w:u w:val="single"/>
                </w:rPr>
                <w:t>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f960e4e3e02f4b2baa760ab420b41f9b_2128">
              <w:r>
                <w:rPr>
                  <w:rStyle w:val="InternetLink"/>
                  <w:rFonts w:ascii="Times New Roman;serif" w:hAnsi="Times New Roman;serif"/>
                  <w:b w:val="false"/>
                  <w:color w:val="0000FF"/>
                  <w:sz w:val="22"/>
                  <w:u w:val="single"/>
                </w:rPr>
                <w:t>1</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0">
              <w:r>
                <w:rPr>
                  <w:rStyle w:val="InternetLink"/>
                  <w:rFonts w:ascii="Times New Roman;serif" w:hAnsi="Times New Roman;serif"/>
                  <w:b w:val="false"/>
                  <w:color w:val="0000FF"/>
                  <w:sz w:val="22"/>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0">
              <w:r>
                <w:rPr>
                  <w:rStyle w:val="InternetLink"/>
                  <w:rFonts w:ascii="Times New Roman;serif" w:hAnsi="Times New Roman;serif"/>
                  <w:b w:val="false"/>
                  <w:color w:val="000080"/>
                  <w:sz w:val="22"/>
                  <w:u w:val="single"/>
                </w:rPr>
                <w:t xml:space="preserve">Financial </w:t>
              </w:r>
            </w:hyperlink>
            <w:hyperlink w:anchor="if960e4e3e02f4b2baa760ab420b41f9b_10">
              <w:r>
                <w:rPr>
                  <w:rStyle w:val="InternetLink"/>
                  <w:rFonts w:ascii="Times New Roman;serif" w:hAnsi="Times New Roman;serif"/>
                  <w:b w:val="false"/>
                  <w:color w:val="000080"/>
                  <w:sz w:val="22"/>
                  <w:u w:val="single"/>
                </w:rPr>
                <w:t>s</w:t>
              </w:r>
            </w:hyperlink>
            <w:hyperlink w:anchor="if960e4e3e02f4b2baa760ab420b41f9b_10">
              <w:r>
                <w:rPr>
                  <w:rStyle w:val="InternetLink"/>
                  <w:rFonts w:ascii="Times New Roman;serif" w:hAnsi="Times New Roman;serif"/>
                  <w:b w:val="false"/>
                  <w:color w:val="000080"/>
                  <w:sz w:val="22"/>
                  <w:u w:val="single"/>
                </w:rPr>
                <w:t>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0">
              <w:r>
                <w:rPr>
                  <w:rStyle w:val="InternetLink"/>
                  <w:rFonts w:ascii="Times New Roman;serif" w:hAnsi="Times New Roman;serif"/>
                  <w:b w:val="false"/>
                  <w:color w:val="0000FF"/>
                  <w:sz w:val="22"/>
                  <w:u w:val="single"/>
                </w:rPr>
                <w:t>1</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2136">
              <w:r>
                <w:rPr>
                  <w:rStyle w:val="InternetLink"/>
                  <w:rFonts w:ascii="Times New Roman;serif" w:hAnsi="Times New Roman;serif"/>
                  <w:b w:val="false"/>
                  <w:color w:val="0000FF"/>
                  <w:sz w:val="22"/>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960e4e3e02f4b2baa760ab420b41f9b_2136">
              <w:r>
                <w:rPr>
                  <w:rStyle w:val="InternetLink"/>
                  <w:rFonts w:ascii="Times New Roman;serif" w:hAnsi="Times New Roman;serif"/>
                  <w:b w:val="false"/>
                  <w:color w:val="000080"/>
                  <w:sz w:val="22"/>
                  <w:u w:val="single"/>
                </w:rPr>
                <w:t>Management</w:t>
              </w:r>
            </w:hyperlink>
            <w:hyperlink w:anchor="if960e4e3e02f4b2baa760ab420b41f9b_2136">
              <w:r>
                <w:rPr>
                  <w:rStyle w:val="InternetLink"/>
                  <w:rFonts w:ascii="Times New Roman;serif" w:hAnsi="Times New Roman;serif"/>
                  <w:b w:val="false"/>
                  <w:color w:val="000080"/>
                  <w:sz w:val="22"/>
                  <w:u w:val="single"/>
                </w:rPr>
                <w:t>’</w:t>
              </w:r>
            </w:hyperlink>
            <w:hyperlink w:anchor="if960e4e3e02f4b2baa760ab420b41f9b_2136">
              <w:r>
                <w:rPr>
                  <w:rStyle w:val="InternetLink"/>
                  <w:rFonts w:ascii="Times New Roman;serif" w:hAnsi="Times New Roman;serif"/>
                  <w:b w:val="false"/>
                  <w:color w:val="000080"/>
                  <w:sz w:val="22"/>
                  <w:u w:val="single"/>
                </w:rPr>
                <w:t xml:space="preserve">s </w:t>
              </w:r>
            </w:hyperlink>
            <w:hyperlink w:anchor="if960e4e3e02f4b2baa760ab420b41f9b_2136">
              <w:r>
                <w:rPr>
                  <w:rStyle w:val="InternetLink"/>
                  <w:rFonts w:ascii="Times New Roman;serif" w:hAnsi="Times New Roman;serif"/>
                  <w:b w:val="false"/>
                  <w:color w:val="000080"/>
                  <w:sz w:val="22"/>
                  <w:u w:val="single"/>
                </w:rPr>
                <w:t>d</w:t>
              </w:r>
            </w:hyperlink>
            <w:hyperlink w:anchor="if960e4e3e02f4b2baa760ab420b41f9b_2136">
              <w:r>
                <w:rPr>
                  <w:rStyle w:val="InternetLink"/>
                  <w:rFonts w:ascii="Times New Roman;serif" w:hAnsi="Times New Roman;serif"/>
                  <w:b w:val="false"/>
                  <w:color w:val="000080"/>
                  <w:sz w:val="22"/>
                  <w:u w:val="single"/>
                </w:rPr>
                <w:t xml:space="preserve">iscussion and </w:t>
              </w:r>
            </w:hyperlink>
            <w:hyperlink w:anchor="if960e4e3e02f4b2baa760ab420b41f9b_2136">
              <w:r>
                <w:rPr>
                  <w:rStyle w:val="InternetLink"/>
                  <w:rFonts w:ascii="Times New Roman;serif" w:hAnsi="Times New Roman;serif"/>
                  <w:b w:val="false"/>
                  <w:color w:val="000080"/>
                  <w:sz w:val="22"/>
                  <w:u w:val="single"/>
                </w:rPr>
                <w:t>a</w:t>
              </w:r>
            </w:hyperlink>
            <w:hyperlink w:anchor="if960e4e3e02f4b2baa760ab420b41f9b_2136">
              <w:r>
                <w:rPr>
                  <w:rStyle w:val="InternetLink"/>
                  <w:rFonts w:ascii="Times New Roman;serif" w:hAnsi="Times New Roman;serif"/>
                  <w:b w:val="false"/>
                  <w:color w:val="000080"/>
                  <w:sz w:val="22"/>
                  <w:u w:val="single"/>
                </w:rPr>
                <w:t xml:space="preserve">nalysis of </w:t>
              </w:r>
            </w:hyperlink>
            <w:hyperlink w:anchor="if960e4e3e02f4b2baa760ab420b41f9b_2136">
              <w:r>
                <w:rPr>
                  <w:rStyle w:val="InternetLink"/>
                  <w:rFonts w:ascii="Times New Roman;serif" w:hAnsi="Times New Roman;serif"/>
                  <w:b w:val="false"/>
                  <w:color w:val="000080"/>
                  <w:sz w:val="22"/>
                  <w:u w:val="single"/>
                </w:rPr>
                <w:t>f</w:t>
              </w:r>
            </w:hyperlink>
            <w:hyperlink w:anchor="if960e4e3e02f4b2baa760ab420b41f9b_2136">
              <w:r>
                <w:rPr>
                  <w:rStyle w:val="InternetLink"/>
                  <w:rFonts w:ascii="Times New Roman;serif" w:hAnsi="Times New Roman;serif"/>
                  <w:b w:val="false"/>
                  <w:color w:val="000080"/>
                  <w:sz w:val="22"/>
                  <w:u w:val="single"/>
                </w:rPr>
                <w:t xml:space="preserve">inancial </w:t>
              </w:r>
            </w:hyperlink>
            <w:hyperlink w:anchor="if960e4e3e02f4b2baa760ab420b41f9b_2136">
              <w:r>
                <w:rPr>
                  <w:rStyle w:val="InternetLink"/>
                  <w:rFonts w:ascii="Times New Roman;serif" w:hAnsi="Times New Roman;serif"/>
                  <w:b w:val="false"/>
                  <w:color w:val="000080"/>
                  <w:sz w:val="22"/>
                  <w:u w:val="single"/>
                </w:rPr>
                <w:t>c</w:t>
              </w:r>
            </w:hyperlink>
            <w:hyperlink w:anchor="if960e4e3e02f4b2baa760ab420b41f9b_2136">
              <w:r>
                <w:rPr>
                  <w:rStyle w:val="InternetLink"/>
                  <w:rFonts w:ascii="Times New Roman;serif" w:hAnsi="Times New Roman;serif"/>
                  <w:b w:val="false"/>
                  <w:color w:val="000080"/>
                  <w:sz w:val="22"/>
                  <w:u w:val="single"/>
                </w:rPr>
                <w:t xml:space="preserve">ondition and </w:t>
              </w:r>
            </w:hyperlink>
            <w:hyperlink w:anchor="if960e4e3e02f4b2baa760ab420b41f9b_2136">
              <w:r>
                <w:rPr>
                  <w:rStyle w:val="InternetLink"/>
                  <w:rFonts w:ascii="Times New Roman;serif" w:hAnsi="Times New Roman;serif"/>
                  <w:b w:val="false"/>
                  <w:color w:val="000080"/>
                  <w:sz w:val="22"/>
                  <w:u w:val="single"/>
                </w:rPr>
                <w:t>r</w:t>
              </w:r>
            </w:hyperlink>
            <w:hyperlink w:anchor="if960e4e3e02f4b2baa760ab420b41f9b_2136">
              <w:r>
                <w:rPr>
                  <w:rStyle w:val="InternetLink"/>
                  <w:rFonts w:ascii="Times New Roman;serif" w:hAnsi="Times New Roman;serif"/>
                  <w:b w:val="false"/>
                  <w:color w:val="000080"/>
                  <w:sz w:val="22"/>
                  <w:u w:val="single"/>
                </w:rPr>
                <w:t xml:space="preserve">esults of </w:t>
              </w:r>
            </w:hyperlink>
            <w:hyperlink w:anchor="if960e4e3e02f4b2baa760ab420b41f9b_2136">
              <w:r>
                <w:rPr>
                  <w:rStyle w:val="InternetLink"/>
                  <w:rFonts w:ascii="Times New Roman;serif" w:hAnsi="Times New Roman;serif"/>
                  <w:b w:val="false"/>
                  <w:color w:val="000080"/>
                  <w:sz w:val="22"/>
                  <w:u w:val="single"/>
                </w:rPr>
                <w:t>o</w:t>
              </w:r>
            </w:hyperlink>
            <w:hyperlink w:anchor="if960e4e3e02f4b2baa760ab420b41f9b_2136">
              <w:r>
                <w:rPr>
                  <w:rStyle w:val="InternetLink"/>
                  <w:rFonts w:ascii="Times New Roman;serif" w:hAnsi="Times New Roman;serif"/>
                  <w:b w:val="false"/>
                  <w:color w:val="000080"/>
                  <w:sz w:val="22"/>
                  <w:u w:val="single"/>
                </w:rPr>
                <w:t>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136">
              <w:r>
                <w:rPr>
                  <w:rStyle w:val="InternetLink"/>
                  <w:rFonts w:ascii="Times New Roman;serif" w:hAnsi="Times New Roman;serif"/>
                  <w:b w:val="false"/>
                  <w:color w:val="0000FF"/>
                  <w:sz w:val="22"/>
                  <w:u w:val="single"/>
                </w:rPr>
                <w:t>26</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2153">
              <w:r>
                <w:rPr>
                  <w:rStyle w:val="InternetLink"/>
                  <w:rFonts w:ascii="Times New Roman;serif" w:hAnsi="Times New Roman;serif"/>
                  <w:b w:val="false"/>
                  <w:color w:val="0000FF"/>
                  <w:sz w:val="22"/>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2153">
              <w:r>
                <w:rPr>
                  <w:rStyle w:val="InternetLink"/>
                  <w:rFonts w:ascii="Times New Roman;serif" w:hAnsi="Times New Roman;serif"/>
                  <w:b w:val="false"/>
                  <w:color w:val="000080"/>
                  <w:sz w:val="22"/>
                  <w:u w:val="single"/>
                </w:rPr>
                <w:t xml:space="preserve">Quantitative and </w:t>
              </w:r>
            </w:hyperlink>
            <w:hyperlink w:anchor="if960e4e3e02f4b2baa760ab420b41f9b_2153">
              <w:r>
                <w:rPr>
                  <w:rStyle w:val="InternetLink"/>
                  <w:rFonts w:ascii="Times New Roman;serif" w:hAnsi="Times New Roman;serif"/>
                  <w:b w:val="false"/>
                  <w:color w:val="000080"/>
                  <w:sz w:val="22"/>
                  <w:u w:val="single"/>
                </w:rPr>
                <w:t>q</w:t>
              </w:r>
            </w:hyperlink>
            <w:hyperlink w:anchor="if960e4e3e02f4b2baa760ab420b41f9b_2153">
              <w:r>
                <w:rPr>
                  <w:rStyle w:val="InternetLink"/>
                  <w:rFonts w:ascii="Times New Roman;serif" w:hAnsi="Times New Roman;serif"/>
                  <w:b w:val="false"/>
                  <w:color w:val="000080"/>
                  <w:sz w:val="22"/>
                  <w:u w:val="single"/>
                </w:rPr>
                <w:t xml:space="preserve">ualitative </w:t>
              </w:r>
            </w:hyperlink>
            <w:hyperlink w:anchor="if960e4e3e02f4b2baa760ab420b41f9b_2153">
              <w:r>
                <w:rPr>
                  <w:rStyle w:val="InternetLink"/>
                  <w:rFonts w:ascii="Times New Roman;serif" w:hAnsi="Times New Roman;serif"/>
                  <w:b w:val="false"/>
                  <w:color w:val="000080"/>
                  <w:sz w:val="22"/>
                  <w:u w:val="single"/>
                </w:rPr>
                <w:t>d</w:t>
              </w:r>
            </w:hyperlink>
            <w:hyperlink w:anchor="if960e4e3e02f4b2baa760ab420b41f9b_2153">
              <w:r>
                <w:rPr>
                  <w:rStyle w:val="InternetLink"/>
                  <w:rFonts w:ascii="Times New Roman;serif" w:hAnsi="Times New Roman;serif"/>
                  <w:b w:val="false"/>
                  <w:color w:val="000080"/>
                  <w:sz w:val="22"/>
                  <w:u w:val="single"/>
                </w:rPr>
                <w:t xml:space="preserve">isclosures </w:t>
              </w:r>
            </w:hyperlink>
            <w:hyperlink w:anchor="if960e4e3e02f4b2baa760ab420b41f9b_2153">
              <w:r>
                <w:rPr>
                  <w:rStyle w:val="InternetLink"/>
                  <w:rFonts w:ascii="Times New Roman;serif" w:hAnsi="Times New Roman;serif"/>
                  <w:b w:val="false"/>
                  <w:color w:val="000080"/>
                  <w:sz w:val="22"/>
                  <w:u w:val="single"/>
                </w:rPr>
                <w:t>a</w:t>
              </w:r>
            </w:hyperlink>
            <w:hyperlink w:anchor="if960e4e3e02f4b2baa760ab420b41f9b_2153">
              <w:r>
                <w:rPr>
                  <w:rStyle w:val="InternetLink"/>
                  <w:rFonts w:ascii="Times New Roman;serif" w:hAnsi="Times New Roman;serif"/>
                  <w:b w:val="false"/>
                  <w:color w:val="000080"/>
                  <w:sz w:val="22"/>
                  <w:u w:val="single"/>
                </w:rPr>
                <w:t xml:space="preserve">bout </w:t>
              </w:r>
            </w:hyperlink>
            <w:hyperlink w:anchor="if960e4e3e02f4b2baa760ab420b41f9b_2153">
              <w:r>
                <w:rPr>
                  <w:rStyle w:val="InternetLink"/>
                  <w:rFonts w:ascii="Times New Roman;serif" w:hAnsi="Times New Roman;serif"/>
                  <w:b w:val="false"/>
                  <w:color w:val="000080"/>
                  <w:sz w:val="22"/>
                  <w:u w:val="single"/>
                </w:rPr>
                <w:t>m</w:t>
              </w:r>
            </w:hyperlink>
            <w:hyperlink w:anchor="if960e4e3e02f4b2baa760ab420b41f9b_2153">
              <w:r>
                <w:rPr>
                  <w:rStyle w:val="InternetLink"/>
                  <w:rFonts w:ascii="Times New Roman;serif" w:hAnsi="Times New Roman;serif"/>
                  <w:b w:val="false"/>
                  <w:color w:val="000080"/>
                  <w:sz w:val="22"/>
                  <w:u w:val="single"/>
                </w:rPr>
                <w:t xml:space="preserve">arket </w:t>
              </w:r>
            </w:hyperlink>
            <w:hyperlink w:anchor="if960e4e3e02f4b2baa760ab420b41f9b_2153">
              <w:r>
                <w:rPr>
                  <w:rStyle w:val="InternetLink"/>
                  <w:rFonts w:ascii="Times New Roman;serif" w:hAnsi="Times New Roman;serif"/>
                  <w:b w:val="false"/>
                  <w:color w:val="000080"/>
                  <w:sz w:val="22"/>
                  <w:u w:val="single"/>
                </w:rPr>
                <w:t>r</w:t>
              </w:r>
            </w:hyperlink>
            <w:hyperlink w:anchor="if960e4e3e02f4b2baa760ab420b41f9b_2153">
              <w:r>
                <w:rPr>
                  <w:rStyle w:val="InternetLink"/>
                  <w:rFonts w:ascii="Times New Roman;serif" w:hAnsi="Times New Roman;serif"/>
                  <w:b w:val="false"/>
                  <w:color w:val="000080"/>
                  <w:sz w:val="22"/>
                  <w:u w:val="single"/>
                </w:rPr>
                <w:t>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153">
              <w:r>
                <w:rPr>
                  <w:rStyle w:val="InternetLink"/>
                  <w:rFonts w:ascii="Times New Roman;serif" w:hAnsi="Times New Roman;serif"/>
                  <w:b w:val="false"/>
                  <w:color w:val="0000FF"/>
                  <w:sz w:val="22"/>
                  <w:u w:val="single"/>
                </w:rPr>
                <w:t>36</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2648">
              <w:r>
                <w:rPr>
                  <w:rStyle w:val="InternetLink"/>
                  <w:rFonts w:ascii="Times New Roman;serif" w:hAnsi="Times New Roman;serif"/>
                  <w:b w:val="false"/>
                  <w:color w:val="0000FF"/>
                  <w:sz w:val="22"/>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2648">
              <w:r>
                <w:rPr>
                  <w:rStyle w:val="InternetLink"/>
                  <w:rFonts w:ascii="Times New Roman;serif" w:hAnsi="Times New Roman;serif"/>
                  <w:b w:val="false"/>
                  <w:color w:val="000080"/>
                  <w:sz w:val="22"/>
                  <w:u w:val="single"/>
                </w:rPr>
                <w:t xml:space="preserve">Controls and </w:t>
              </w:r>
            </w:hyperlink>
            <w:hyperlink w:anchor="if960e4e3e02f4b2baa760ab420b41f9b_2648">
              <w:r>
                <w:rPr>
                  <w:rStyle w:val="InternetLink"/>
                  <w:rFonts w:ascii="Times New Roman;serif" w:hAnsi="Times New Roman;serif"/>
                  <w:b w:val="false"/>
                  <w:color w:val="000080"/>
                  <w:sz w:val="22"/>
                  <w:u w:val="single"/>
                </w:rPr>
                <w:t>p</w:t>
              </w:r>
            </w:hyperlink>
            <w:hyperlink w:anchor="if960e4e3e02f4b2baa760ab420b41f9b_2648">
              <w:r>
                <w:rPr>
                  <w:rStyle w:val="InternetLink"/>
                  <w:rFonts w:ascii="Times New Roman;serif" w:hAnsi="Times New Roman;serif"/>
                  <w:b w:val="false"/>
                  <w:color w:val="000080"/>
                  <w:sz w:val="22"/>
                  <w:u w:val="single"/>
                </w:rPr>
                <w:t>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648">
              <w:r>
                <w:rPr>
                  <w:rStyle w:val="InternetLink"/>
                  <w:rFonts w:ascii="Times New Roman;serif" w:hAnsi="Times New Roman;serif"/>
                  <w:b w:val="false"/>
                  <w:color w:val="0000FF"/>
                  <w:sz w:val="22"/>
                  <w:u w:val="single"/>
                </w:rPr>
                <w:t>36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09">
              <w:r>
                <w:rPr>
                  <w:rStyle w:val="InternetLink"/>
                  <w:rFonts w:ascii="Times New Roman;serif" w:hAnsi="Times New Roman;serif"/>
                  <w:b/>
                  <w:color w:val="0000FF"/>
                  <w:sz w:val="22"/>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09">
              <w:r>
                <w:rPr>
                  <w:rStyle w:val="InternetLink"/>
                  <w:rFonts w:ascii="Times New Roman;serif" w:hAnsi="Times New Roman;serif"/>
                  <w:b/>
                  <w:color w:val="000080"/>
                  <w:sz w:val="22"/>
                  <w:u w:val="single"/>
                </w:rPr>
                <w:t xml:space="preserve">Other </w:t>
              </w:r>
            </w:hyperlink>
            <w:hyperlink w:anchor="if960e4e3e02f4b2baa760ab420b41f9b_109">
              <w:r>
                <w:rPr>
                  <w:rStyle w:val="InternetLink"/>
                  <w:rFonts w:ascii="Times New Roman;serif" w:hAnsi="Times New Roman;serif"/>
                  <w:b/>
                  <w:color w:val="000080"/>
                  <w:sz w:val="22"/>
                  <w:u w:val="single"/>
                </w:rPr>
                <w:t>i</w:t>
              </w:r>
            </w:hyperlink>
            <w:hyperlink w:anchor="if960e4e3e02f4b2baa760ab420b41f9b_109">
              <w:r>
                <w:rPr>
                  <w:rStyle w:val="InternetLink"/>
                  <w:rFonts w:ascii="Times New Roman;serif" w:hAnsi="Times New Roman;serif"/>
                  <w:b/>
                  <w:color w:val="000080"/>
                  <w:sz w:val="22"/>
                  <w:u w:val="single"/>
                </w:rPr>
                <w:t>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09">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12">
              <w:r>
                <w:rPr>
                  <w:rStyle w:val="InternetLink"/>
                  <w:rFonts w:ascii="Times New Roman;serif" w:hAnsi="Times New Roman;serif"/>
                  <w:b w:val="false"/>
                  <w:color w:val="0000FF"/>
                  <w:sz w:val="22"/>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12">
              <w:r>
                <w:rPr>
                  <w:rStyle w:val="InternetLink"/>
                  <w:rFonts w:ascii="Times New Roman;serif" w:hAnsi="Times New Roman;serif"/>
                  <w:b w:val="false"/>
                  <w:color w:val="000080"/>
                  <w:sz w:val="22"/>
                  <w:u w:val="single"/>
                </w:rPr>
                <w:t xml:space="preserve">Legal </w:t>
              </w:r>
            </w:hyperlink>
            <w:hyperlink w:anchor="if960e4e3e02f4b2baa760ab420b41f9b_112">
              <w:r>
                <w:rPr>
                  <w:rStyle w:val="InternetLink"/>
                  <w:rFonts w:ascii="Times New Roman;serif" w:hAnsi="Times New Roman;serif"/>
                  <w:b w:val="false"/>
                  <w:color w:val="000080"/>
                  <w:sz w:val="22"/>
                  <w:u w:val="single"/>
                </w:rPr>
                <w:t>p</w:t>
              </w:r>
            </w:hyperlink>
            <w:hyperlink w:anchor="if960e4e3e02f4b2baa760ab420b41f9b_112">
              <w:r>
                <w:rPr>
                  <w:rStyle w:val="InternetLink"/>
                  <w:rFonts w:ascii="Times New Roman;serif" w:hAnsi="Times New Roman;serif"/>
                  <w:b w:val="false"/>
                  <w:color w:val="000080"/>
                  <w:sz w:val="22"/>
                  <w:u w:val="single"/>
                </w:rPr>
                <w:t>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12">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15">
              <w:r>
                <w:rPr>
                  <w:rStyle w:val="InternetLink"/>
                  <w:rFonts w:ascii="Times New Roman;serif" w:hAnsi="Times New Roman;serif"/>
                  <w:b w:val="false"/>
                  <w:color w:val="0000FF"/>
                  <w:sz w:val="22"/>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15">
              <w:r>
                <w:rPr>
                  <w:rStyle w:val="InternetLink"/>
                  <w:rFonts w:ascii="Times New Roman;serif" w:hAnsi="Times New Roman;serif"/>
                  <w:b w:val="false"/>
                  <w:color w:val="000080"/>
                  <w:sz w:val="22"/>
                  <w:u w:val="single"/>
                </w:rPr>
                <w:t xml:space="preserve">Risk </w:t>
              </w:r>
            </w:hyperlink>
            <w:hyperlink w:anchor="if960e4e3e02f4b2baa760ab420b41f9b_115">
              <w:r>
                <w:rPr>
                  <w:rStyle w:val="InternetLink"/>
                  <w:rFonts w:ascii="Times New Roman;serif" w:hAnsi="Times New Roman;serif"/>
                  <w:b w:val="false"/>
                  <w:color w:val="000080"/>
                  <w:sz w:val="22"/>
                  <w:u w:val="single"/>
                </w:rPr>
                <w:t>f</w:t>
              </w:r>
            </w:hyperlink>
            <w:hyperlink w:anchor="if960e4e3e02f4b2baa760ab420b41f9b_115">
              <w:r>
                <w:rPr>
                  <w:rStyle w:val="InternetLink"/>
                  <w:rFonts w:ascii="Times New Roman;serif" w:hAnsi="Times New Roman;serif"/>
                  <w:b w:val="false"/>
                  <w:color w:val="000080"/>
                  <w:sz w:val="22"/>
                  <w:u w:val="single"/>
                </w:rPr>
                <w:t>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15">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18">
              <w:r>
                <w:rPr>
                  <w:rStyle w:val="InternetLink"/>
                  <w:rFonts w:ascii="Times New Roman;serif" w:hAnsi="Times New Roman;serif"/>
                  <w:b w:val="false"/>
                  <w:color w:val="0000FF"/>
                  <w:sz w:val="22"/>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18">
              <w:r>
                <w:rPr>
                  <w:rStyle w:val="InternetLink"/>
                  <w:rFonts w:ascii="Times New Roman;serif" w:hAnsi="Times New Roman;serif"/>
                  <w:b w:val="false"/>
                  <w:color w:val="000080"/>
                  <w:sz w:val="22"/>
                  <w:u w:val="single"/>
                </w:rPr>
                <w:t xml:space="preserve">Unregistered </w:t>
              </w:r>
            </w:hyperlink>
            <w:hyperlink w:anchor="if960e4e3e02f4b2baa760ab420b41f9b_118">
              <w:r>
                <w:rPr>
                  <w:rStyle w:val="InternetLink"/>
                  <w:rFonts w:ascii="Times New Roman;serif" w:hAnsi="Times New Roman;serif"/>
                  <w:b w:val="false"/>
                  <w:color w:val="000080"/>
                  <w:sz w:val="22"/>
                  <w:u w:val="single"/>
                </w:rPr>
                <w:t>s</w:t>
              </w:r>
            </w:hyperlink>
            <w:hyperlink w:anchor="if960e4e3e02f4b2baa760ab420b41f9b_118">
              <w:r>
                <w:rPr>
                  <w:rStyle w:val="InternetLink"/>
                  <w:rFonts w:ascii="Times New Roman;serif" w:hAnsi="Times New Roman;serif"/>
                  <w:b w:val="false"/>
                  <w:color w:val="000080"/>
                  <w:sz w:val="22"/>
                  <w:u w:val="single"/>
                </w:rPr>
                <w:t xml:space="preserve">ales of </w:t>
              </w:r>
            </w:hyperlink>
            <w:hyperlink w:anchor="if960e4e3e02f4b2baa760ab420b41f9b_118">
              <w:r>
                <w:rPr>
                  <w:rStyle w:val="InternetLink"/>
                  <w:rFonts w:ascii="Times New Roman;serif" w:hAnsi="Times New Roman;serif"/>
                  <w:b w:val="false"/>
                  <w:color w:val="000080"/>
                  <w:sz w:val="22"/>
                  <w:u w:val="single"/>
                </w:rPr>
                <w:t>e</w:t>
              </w:r>
            </w:hyperlink>
            <w:hyperlink w:anchor="if960e4e3e02f4b2baa760ab420b41f9b_118">
              <w:r>
                <w:rPr>
                  <w:rStyle w:val="InternetLink"/>
                  <w:rFonts w:ascii="Times New Roman;serif" w:hAnsi="Times New Roman;serif"/>
                  <w:b w:val="false"/>
                  <w:color w:val="000080"/>
                  <w:sz w:val="22"/>
                  <w:u w:val="single"/>
                </w:rPr>
                <w:t xml:space="preserve">quity </w:t>
              </w:r>
            </w:hyperlink>
            <w:hyperlink w:anchor="if960e4e3e02f4b2baa760ab420b41f9b_118">
              <w:r>
                <w:rPr>
                  <w:rStyle w:val="InternetLink"/>
                  <w:rFonts w:ascii="Times New Roman;serif" w:hAnsi="Times New Roman;serif"/>
                  <w:b w:val="false"/>
                  <w:color w:val="000080"/>
                  <w:sz w:val="22"/>
                  <w:u w:val="single"/>
                </w:rPr>
                <w:t>s</w:t>
              </w:r>
            </w:hyperlink>
            <w:hyperlink w:anchor="if960e4e3e02f4b2baa760ab420b41f9b_118">
              <w:r>
                <w:rPr>
                  <w:rStyle w:val="InternetLink"/>
                  <w:rFonts w:ascii="Times New Roman;serif" w:hAnsi="Times New Roman;serif"/>
                  <w:b w:val="false"/>
                  <w:color w:val="000080"/>
                  <w:sz w:val="22"/>
                  <w:u w:val="single"/>
                </w:rPr>
                <w:t xml:space="preserve">ecurities and </w:t>
              </w:r>
            </w:hyperlink>
            <w:hyperlink w:anchor="if960e4e3e02f4b2baa760ab420b41f9b_118">
              <w:r>
                <w:rPr>
                  <w:rStyle w:val="InternetLink"/>
                  <w:rFonts w:ascii="Times New Roman;serif" w:hAnsi="Times New Roman;serif"/>
                  <w:b w:val="false"/>
                  <w:color w:val="000080"/>
                  <w:sz w:val="22"/>
                  <w:u w:val="single"/>
                </w:rPr>
                <w:t>u</w:t>
              </w:r>
            </w:hyperlink>
            <w:hyperlink w:anchor="if960e4e3e02f4b2baa760ab420b41f9b_118">
              <w:r>
                <w:rPr>
                  <w:rStyle w:val="InternetLink"/>
                  <w:rFonts w:ascii="Times New Roman;serif" w:hAnsi="Times New Roman;serif"/>
                  <w:b w:val="false"/>
                  <w:color w:val="000080"/>
                  <w:sz w:val="22"/>
                  <w:u w:val="single"/>
                </w:rPr>
                <w:t xml:space="preserve">se of </w:t>
              </w:r>
            </w:hyperlink>
            <w:hyperlink w:anchor="if960e4e3e02f4b2baa760ab420b41f9b_118">
              <w:r>
                <w:rPr>
                  <w:rStyle w:val="InternetLink"/>
                  <w:rFonts w:ascii="Times New Roman;serif" w:hAnsi="Times New Roman;serif"/>
                  <w:b w:val="false"/>
                  <w:color w:val="000080"/>
                  <w:sz w:val="22"/>
                  <w:u w:val="single"/>
                </w:rPr>
                <w:t>p</w:t>
              </w:r>
            </w:hyperlink>
            <w:hyperlink w:anchor="if960e4e3e02f4b2baa760ab420b41f9b_118">
              <w:r>
                <w:rPr>
                  <w:rStyle w:val="InternetLink"/>
                  <w:rFonts w:ascii="Times New Roman;serif" w:hAnsi="Times New Roman;serif"/>
                  <w:b w:val="false"/>
                  <w:color w:val="000080"/>
                  <w:sz w:val="22"/>
                  <w:u w:val="single"/>
                </w:rPr>
                <w:t>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18">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21">
              <w:r>
                <w:rPr>
                  <w:rStyle w:val="InternetLink"/>
                  <w:rFonts w:ascii="Times New Roman;serif" w:hAnsi="Times New Roman;serif"/>
                  <w:b w:val="false"/>
                  <w:color w:val="0000FF"/>
                  <w:sz w:val="22"/>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21">
              <w:r>
                <w:rPr>
                  <w:rStyle w:val="InternetLink"/>
                  <w:rFonts w:ascii="Times New Roman;serif" w:hAnsi="Times New Roman;serif"/>
                  <w:b w:val="false"/>
                  <w:color w:val="000080"/>
                  <w:sz w:val="22"/>
                  <w:u w:val="single"/>
                </w:rPr>
                <w:t xml:space="preserve">Defaults </w:t>
              </w:r>
            </w:hyperlink>
            <w:hyperlink w:anchor="if960e4e3e02f4b2baa760ab420b41f9b_121">
              <w:r>
                <w:rPr>
                  <w:rStyle w:val="InternetLink"/>
                  <w:rFonts w:ascii="Times New Roman;serif" w:hAnsi="Times New Roman;serif"/>
                  <w:b w:val="false"/>
                  <w:color w:val="000080"/>
                  <w:sz w:val="22"/>
                  <w:u w:val="single"/>
                </w:rPr>
                <w:t>u</w:t>
              </w:r>
            </w:hyperlink>
            <w:hyperlink w:anchor="if960e4e3e02f4b2baa760ab420b41f9b_121">
              <w:r>
                <w:rPr>
                  <w:rStyle w:val="InternetLink"/>
                  <w:rFonts w:ascii="Times New Roman;serif" w:hAnsi="Times New Roman;serif"/>
                  <w:b w:val="false"/>
                  <w:color w:val="000080"/>
                  <w:sz w:val="22"/>
                  <w:u w:val="single"/>
                </w:rPr>
                <w:t xml:space="preserve">pon </w:t>
              </w:r>
            </w:hyperlink>
            <w:hyperlink w:anchor="if960e4e3e02f4b2baa760ab420b41f9b_121">
              <w:r>
                <w:rPr>
                  <w:rStyle w:val="InternetLink"/>
                  <w:rFonts w:ascii="Times New Roman;serif" w:hAnsi="Times New Roman;serif"/>
                  <w:b w:val="false"/>
                  <w:color w:val="000080"/>
                  <w:sz w:val="22"/>
                  <w:u w:val="single"/>
                </w:rPr>
                <w:t>s</w:t>
              </w:r>
            </w:hyperlink>
            <w:hyperlink w:anchor="if960e4e3e02f4b2baa760ab420b41f9b_121">
              <w:r>
                <w:rPr>
                  <w:rStyle w:val="InternetLink"/>
                  <w:rFonts w:ascii="Times New Roman;serif" w:hAnsi="Times New Roman;serif"/>
                  <w:b w:val="false"/>
                  <w:color w:val="000080"/>
                  <w:sz w:val="22"/>
                  <w:u w:val="single"/>
                </w:rPr>
                <w:t xml:space="preserve">enior </w:t>
              </w:r>
            </w:hyperlink>
            <w:hyperlink w:anchor="if960e4e3e02f4b2baa760ab420b41f9b_121">
              <w:r>
                <w:rPr>
                  <w:rStyle w:val="InternetLink"/>
                  <w:rFonts w:ascii="Times New Roman;serif" w:hAnsi="Times New Roman;serif"/>
                  <w:b w:val="false"/>
                  <w:color w:val="000080"/>
                  <w:sz w:val="22"/>
                  <w:u w:val="single"/>
                </w:rPr>
                <w:t>s</w:t>
              </w:r>
            </w:hyperlink>
            <w:hyperlink w:anchor="if960e4e3e02f4b2baa760ab420b41f9b_121">
              <w:r>
                <w:rPr>
                  <w:rStyle w:val="InternetLink"/>
                  <w:rFonts w:ascii="Times New Roman;serif" w:hAnsi="Times New Roman;serif"/>
                  <w:b w:val="false"/>
                  <w:color w:val="000080"/>
                  <w:sz w:val="22"/>
                  <w:u w:val="single"/>
                </w:rPr>
                <w:t>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21">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24">
              <w:r>
                <w:rPr>
                  <w:rStyle w:val="InternetLink"/>
                  <w:rFonts w:ascii="Times New Roman;serif" w:hAnsi="Times New Roman;serif"/>
                  <w:b w:val="false"/>
                  <w:color w:val="0000FF"/>
                  <w:sz w:val="22"/>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24">
              <w:r>
                <w:rPr>
                  <w:rStyle w:val="InternetLink"/>
                  <w:rFonts w:ascii="Times New Roman;serif" w:hAnsi="Times New Roman;serif"/>
                  <w:b w:val="false"/>
                  <w:color w:val="000080"/>
                  <w:sz w:val="22"/>
                  <w:u w:val="single"/>
                </w:rPr>
                <w:t xml:space="preserve">Mine </w:t>
              </w:r>
            </w:hyperlink>
            <w:hyperlink w:anchor="if960e4e3e02f4b2baa760ab420b41f9b_124">
              <w:r>
                <w:rPr>
                  <w:rStyle w:val="InternetLink"/>
                  <w:rFonts w:ascii="Times New Roman;serif" w:hAnsi="Times New Roman;serif"/>
                  <w:b w:val="false"/>
                  <w:color w:val="000080"/>
                  <w:sz w:val="22"/>
                  <w:u w:val="single"/>
                </w:rPr>
                <w:t>s</w:t>
              </w:r>
            </w:hyperlink>
            <w:hyperlink w:anchor="if960e4e3e02f4b2baa760ab420b41f9b_124">
              <w:r>
                <w:rPr>
                  <w:rStyle w:val="InternetLink"/>
                  <w:rFonts w:ascii="Times New Roman;serif" w:hAnsi="Times New Roman;serif"/>
                  <w:b w:val="false"/>
                  <w:color w:val="000080"/>
                  <w:sz w:val="22"/>
                  <w:u w:val="single"/>
                </w:rPr>
                <w:t xml:space="preserve">afety </w:t>
              </w:r>
            </w:hyperlink>
            <w:hyperlink w:anchor="if960e4e3e02f4b2baa760ab420b41f9b_124">
              <w:r>
                <w:rPr>
                  <w:rStyle w:val="InternetLink"/>
                  <w:rFonts w:ascii="Times New Roman;serif" w:hAnsi="Times New Roman;serif"/>
                  <w:b w:val="false"/>
                  <w:color w:val="000080"/>
                  <w:sz w:val="22"/>
                  <w:u w:val="single"/>
                </w:rPr>
                <w:t>d</w:t>
              </w:r>
            </w:hyperlink>
            <w:hyperlink w:anchor="if960e4e3e02f4b2baa760ab420b41f9b_124">
              <w:r>
                <w:rPr>
                  <w:rStyle w:val="InternetLink"/>
                  <w:rFonts w:ascii="Times New Roman;serif" w:hAnsi="Times New Roman;serif"/>
                  <w:b w:val="false"/>
                  <w:color w:val="000080"/>
                  <w:sz w:val="22"/>
                  <w:u w:val="single"/>
                </w:rPr>
                <w:t>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24">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27">
              <w:r>
                <w:rPr>
                  <w:rStyle w:val="InternetLink"/>
                  <w:rFonts w:ascii="Times New Roman;serif" w:hAnsi="Times New Roman;serif"/>
                  <w:b w:val="false"/>
                  <w:color w:val="0000FF"/>
                  <w:sz w:val="22"/>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27">
              <w:r>
                <w:rPr>
                  <w:rStyle w:val="InternetLink"/>
                  <w:rFonts w:ascii="Times New Roman;serif" w:hAnsi="Times New Roman;serif"/>
                  <w:b w:val="false"/>
                  <w:color w:val="000080"/>
                  <w:sz w:val="22"/>
                  <w:u w:val="single"/>
                </w:rPr>
                <w:t xml:space="preserve">Other </w:t>
              </w:r>
            </w:hyperlink>
            <w:hyperlink w:anchor="if960e4e3e02f4b2baa760ab420b41f9b_127">
              <w:r>
                <w:rPr>
                  <w:rStyle w:val="InternetLink"/>
                  <w:rFonts w:ascii="Times New Roman;serif" w:hAnsi="Times New Roman;serif"/>
                  <w:b w:val="false"/>
                  <w:color w:val="000080"/>
                  <w:sz w:val="22"/>
                  <w:u w:val="single"/>
                </w:rPr>
                <w:t>i</w:t>
              </w:r>
            </w:hyperlink>
            <w:hyperlink w:anchor="if960e4e3e02f4b2baa760ab420b41f9b_127">
              <w:r>
                <w:rPr>
                  <w:rStyle w:val="InternetLink"/>
                  <w:rFonts w:ascii="Times New Roman;serif" w:hAnsi="Times New Roman;serif"/>
                  <w:b w:val="false"/>
                  <w:color w:val="000080"/>
                  <w:sz w:val="22"/>
                  <w:u w:val="single"/>
                </w:rPr>
                <w:t>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27">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30">
              <w:r>
                <w:rPr>
                  <w:rStyle w:val="InternetLink"/>
                  <w:rFonts w:ascii="Times New Roman;serif" w:hAnsi="Times New Roman;serif"/>
                  <w:b w:val="false"/>
                  <w:color w:val="0000FF"/>
                  <w:sz w:val="22"/>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30">
              <w:r>
                <w:rPr>
                  <w:rStyle w:val="InternetLink"/>
                  <w:rFonts w:ascii="Times New Roman;serif" w:hAnsi="Times New Roman;serif"/>
                  <w:b w:val="false"/>
                  <w:color w:val="0000FF"/>
                  <w:sz w:val="22"/>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30">
              <w:r>
                <w:rPr>
                  <w:rStyle w:val="InternetLink"/>
                  <w:rFonts w:ascii="Times New Roman;serif" w:hAnsi="Times New Roman;serif"/>
                  <w:b w:val="false"/>
                  <w:color w:val="0000FF"/>
                  <w:sz w:val="22"/>
                  <w:u w:val="single"/>
                </w:rPr>
                <w:t>38</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33">
              <w:r>
                <w:rPr>
                  <w:rStyle w:val="InternetLink"/>
                  <w:rFonts w:ascii="Times New Roman;serif" w:hAnsi="Times New Roman;serif"/>
                  <w:b w:val="false"/>
                  <w:color w:val="0000FF"/>
                  <w:sz w:val="22"/>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33">
              <w:r>
                <w:rPr>
                  <w:rStyle w:val="InternetLink"/>
                  <w:rFonts w:ascii="Times New Roman;serif" w:hAnsi="Times New Roman;serif"/>
                  <w:b w:val="false"/>
                  <w:color w:val="0000FF"/>
                  <w:sz w:val="22"/>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62915"/>
                <wp:effectExtent l="0" t="0" r="0" b="0"/>
                <wp:wrapNone/>
                <wp:docPr id="3" name="Frame3"/>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Item 1. Financial statements</w:t>
      </w:r>
    </w:p>
    <w:p>
      <w:pPr>
        <w:pStyle w:val="TextBody"/>
        <w:bidi w:val="0"/>
        <w:spacing w:lineRule="auto" w:line="288" w:before="0" w:after="200"/>
        <w:jc w:val="left"/>
        <w:rPr>
          <w:rFonts w:ascii="Times New Roman;serif" w:hAnsi="Times New Roman;serif"/>
          <w:b/>
          <w:color w:val="000000"/>
          <w:sz w:val="22"/>
        </w:rPr>
      </w:pPr>
      <w:bookmarkStart w:id="0" w:name="i6d1c70bfaf2e400eb1537b2629f11c33_76"/>
      <w:bookmarkEnd w:id="0"/>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1720"/>
        <w:gridCol w:w="1489"/>
        <w:gridCol w:w="1489"/>
        <w:gridCol w:w="1957"/>
        <w:gridCol w:w="1563"/>
        <w:gridCol w:w="1592"/>
        <w:gridCol w:w="114"/>
        <w:gridCol w:w="114"/>
        <w:gridCol w:w="167"/>
      </w:tblGrid>
      <w:tr>
        <w:trPr/>
        <w:tc>
          <w:tcPr>
            <w:tcW w:w="172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5112"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tcPr>
          <w:p>
            <w:pPr>
              <w:pStyle w:val="TableContents"/>
              <w:bidi w:val="0"/>
              <w:spacing w:before="0" w:after="283"/>
              <w:jc w:val="left"/>
              <w:rPr>
                <w:sz w:val="4"/>
                <w:szCs w:val="4"/>
              </w:rPr>
            </w:pPr>
            <w:r>
              <w:rPr>
                <w:sz w:val="4"/>
                <w:szCs w:val="4"/>
              </w:rPr>
            </w:r>
          </w:p>
        </w:tc>
      </w:tr>
      <w:tr>
        <w:trPr/>
        <w:tc>
          <w:tcPr>
            <w:tcW w:w="9810" w:type="dxa"/>
            <w:gridSpan w:val="6"/>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960e4e3e02f4b2baa760ab420b41f9b_13">
              <w:r>
                <w:rPr>
                  <w:rStyle w:val="InternetLink"/>
                  <w:rFonts w:ascii="Times New Roman;serif" w:hAnsi="Times New Roman;serif"/>
                  <w:b w:val="false"/>
                  <w:color w:val="0000FF"/>
                  <w:sz w:val="22"/>
                  <w:u w:val="single"/>
                </w:rPr>
                <w:t>Consolidated Balance Sheets as of June 30, 2026 and December 31, 2025</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3">
              <w:r>
                <w:rPr>
                  <w:rStyle w:val="InternetLink"/>
                  <w:rFonts w:ascii="Times New Roman;serif" w:hAnsi="Times New Roman;serif"/>
                  <w:b w:val="false"/>
                  <w:color w:val="0000FF"/>
                  <w:sz w:val="22"/>
                  <w:u w:val="single"/>
                </w:rPr>
                <w:t>2</w:t>
              </w:r>
            </w:hyperlink>
          </w:p>
        </w:tc>
      </w:tr>
      <w:tr>
        <w:trPr/>
        <w:tc>
          <w:tcPr>
            <w:tcW w:w="9810" w:type="dxa"/>
            <w:gridSpan w:val="6"/>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960e4e3e02f4b2baa760ab420b41f9b_16">
              <w:r>
                <w:rPr>
                  <w:rStyle w:val="InternetLink"/>
                  <w:rFonts w:ascii="Times New Roman;serif" w:hAnsi="Times New Roman;serif"/>
                  <w:b w:val="false"/>
                  <w:color w:val="0000FF"/>
                  <w:sz w:val="22"/>
                  <w:u w:val="single"/>
                </w:rPr>
                <w:t>Consolidated Statements of Operations for the Three and Six Months Ended June 30, 2026 and May 25, 2025</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6">
              <w:r>
                <w:rPr>
                  <w:rStyle w:val="InternetLink"/>
                  <w:rFonts w:ascii="Times New Roman;serif" w:hAnsi="Times New Roman;serif"/>
                  <w:b w:val="false"/>
                  <w:color w:val="0000FF"/>
                  <w:sz w:val="22"/>
                  <w:u w:val="single"/>
                </w:rPr>
                <w:t>3</w:t>
              </w:r>
            </w:hyperlink>
          </w:p>
        </w:tc>
      </w:tr>
      <w:tr>
        <w:trPr/>
        <w:tc>
          <w:tcPr>
            <w:tcW w:w="9810" w:type="dxa"/>
            <w:gridSpan w:val="6"/>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960e4e3e02f4b2baa760ab420b41f9b_1697">
              <w:r>
                <w:rPr>
                  <w:rStyle w:val="InternetLink"/>
                  <w:rFonts w:ascii="Times New Roman;serif" w:hAnsi="Times New Roman;serif"/>
                  <w:b w:val="false"/>
                  <w:color w:val="0000FF"/>
                  <w:sz w:val="22"/>
                  <w:u w:val="single"/>
                </w:rPr>
                <w:t>Consolidated Statements of Convertible Preferred Stock and Stockholders’ Equity (Deficit) for the Three and Six Months Ended June 30, 2026 and May 25, 2025</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437">
              <w:r>
                <w:rPr>
                  <w:rStyle w:val="InternetLink"/>
                  <w:rFonts w:ascii="Times New Roman;serif" w:hAnsi="Times New Roman;serif"/>
                  <w:b w:val="false"/>
                  <w:color w:val="0000FF"/>
                  <w:sz w:val="22"/>
                  <w:u w:val="single"/>
                </w:rPr>
                <w:t>4</w:t>
              </w:r>
            </w:hyperlink>
          </w:p>
        </w:tc>
      </w:tr>
      <w:tr>
        <w:trPr/>
        <w:tc>
          <w:tcPr>
            <w:tcW w:w="9810" w:type="dxa"/>
            <w:gridSpan w:val="6"/>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960e4e3e02f4b2baa760ab420b41f9b_22">
              <w:r>
                <w:rPr>
                  <w:rStyle w:val="InternetLink"/>
                  <w:rFonts w:ascii="Times New Roman;serif" w:hAnsi="Times New Roman;serif"/>
                  <w:b w:val="false"/>
                  <w:color w:val="0000FF"/>
                  <w:sz w:val="22"/>
                  <w:u w:val="single"/>
                </w:rPr>
                <w:t>Consolidated Statements of Cash Flows for the Six Months Ended June 30, 2026 and May 25, 2025</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2">
              <w:r>
                <w:rPr>
                  <w:rStyle w:val="InternetLink"/>
                  <w:rFonts w:ascii="Times New Roman;serif" w:hAnsi="Times New Roman;serif"/>
                  <w:b w:val="false"/>
                  <w:color w:val="0000FF"/>
                  <w:sz w:val="22"/>
                  <w:u w:val="single"/>
                </w:rPr>
                <w:t>6</w:t>
              </w:r>
            </w:hyperlink>
          </w:p>
        </w:tc>
      </w:tr>
      <w:tr>
        <w:trPr/>
        <w:tc>
          <w:tcPr>
            <w:tcW w:w="9810" w:type="dxa"/>
            <w:gridSpan w:val="6"/>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960e4e3e02f4b2baa760ab420b41f9b_25">
              <w:r>
                <w:rPr>
                  <w:rStyle w:val="InternetLink"/>
                  <w:rFonts w:ascii="Times New Roman;serif" w:hAnsi="Times New Roman;serif"/>
                  <w:b w:val="false"/>
                  <w:color w:val="0000FF"/>
                  <w:sz w:val="22"/>
                  <w:u w:val="single"/>
                </w:rPr>
                <w:t>Notes to the Consolidated Financial Statements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5">
              <w:r>
                <w:rPr>
                  <w:rStyle w:val="InternetLink"/>
                  <w:rFonts w:ascii="Times New Roman;serif" w:hAnsi="Times New Roman;serif"/>
                  <w:b w:val="false"/>
                  <w:color w:val="0000FF"/>
                  <w:sz w:val="22"/>
                  <w:u w:val="single"/>
                </w:rPr>
                <w:t>7</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28">
              <w:r>
                <w:rPr>
                  <w:rStyle w:val="InternetLink"/>
                  <w:rFonts w:ascii="Times New Roman;serif" w:hAnsi="Times New Roman;serif"/>
                  <w:b w:val="false"/>
                  <w:color w:val="0000FF"/>
                  <w:sz w:val="22"/>
                  <w:u w:val="single"/>
                </w:rPr>
                <w:t>Organization, basis of presentation and summary of significant accounting policies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8">
              <w:r>
                <w:rPr>
                  <w:rStyle w:val="InternetLink"/>
                  <w:rFonts w:ascii="Times New Roman;serif" w:hAnsi="Times New Roman;serif"/>
                  <w:b w:val="false"/>
                  <w:color w:val="0000FF"/>
                  <w:sz w:val="22"/>
                  <w:u w:val="single"/>
                </w:rPr>
                <w:t>7</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31">
              <w:r>
                <w:rPr>
                  <w:rStyle w:val="InternetLink"/>
                  <w:rFonts w:ascii="Times New Roman;serif" w:hAnsi="Times New Roman;serif"/>
                  <w:b w:val="false"/>
                  <w:color w:val="0000FF"/>
                  <w:sz w:val="22"/>
                  <w:u w:val="single"/>
                </w:rPr>
                <w:t>Income or loss per share</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31">
              <w:r>
                <w:rPr>
                  <w:rStyle w:val="InternetLink"/>
                  <w:rFonts w:ascii="Times New Roman;serif" w:hAnsi="Times New Roman;serif"/>
                  <w:b w:val="false"/>
                  <w:color w:val="0000FF"/>
                  <w:sz w:val="22"/>
                  <w:u w:val="single"/>
                </w:rPr>
                <w:t>9</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1576">
              <w:r>
                <w:rPr>
                  <w:rStyle w:val="InternetLink"/>
                  <w:rFonts w:ascii="Times New Roman;serif" w:hAnsi="Times New Roman;serif"/>
                  <w:b w:val="false"/>
                  <w:color w:val="0000FF"/>
                  <w:sz w:val="22"/>
                  <w:u w:val="single"/>
                </w:rPr>
                <w:t>Segment reporting for single reportable segment</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1576">
              <w:r>
                <w:rPr>
                  <w:rStyle w:val="InternetLink"/>
                  <w:rFonts w:ascii="Times New Roman;serif" w:hAnsi="Times New Roman;serif"/>
                  <w:b w:val="false"/>
                  <w:color w:val="0000FF"/>
                  <w:sz w:val="22"/>
                  <w:u w:val="single"/>
                </w:rPr>
                <w:t>9</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37">
              <w:r>
                <w:rPr>
                  <w:rStyle w:val="InternetLink"/>
                  <w:rFonts w:ascii="Times New Roman;serif" w:hAnsi="Times New Roman;serif"/>
                  <w:b w:val="false"/>
                  <w:color w:val="0000FF"/>
                  <w:sz w:val="22"/>
                  <w:u w:val="single"/>
                </w:rPr>
                <w:t>Accounts and note receivable</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37">
              <w:r>
                <w:rPr>
                  <w:rStyle w:val="InternetLink"/>
                  <w:rFonts w:ascii="Times New Roman;serif" w:hAnsi="Times New Roman;serif"/>
                  <w:b w:val="false"/>
                  <w:color w:val="0000FF"/>
                  <w:sz w:val="22"/>
                  <w:u w:val="single"/>
                </w:rPr>
                <w:t>10</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5</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40">
              <w:r>
                <w:rPr>
                  <w:rStyle w:val="InternetLink"/>
                  <w:rFonts w:ascii="Times New Roman;serif" w:hAnsi="Times New Roman;serif"/>
                  <w:b w:val="false"/>
                  <w:color w:val="0000FF"/>
                  <w:sz w:val="22"/>
                  <w:u w:val="single"/>
                </w:rPr>
                <w:t>Inventory</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40">
              <w:r>
                <w:rPr>
                  <w:rStyle w:val="InternetLink"/>
                  <w:rFonts w:ascii="Times New Roman;serif" w:hAnsi="Times New Roman;serif"/>
                  <w:b w:val="false"/>
                  <w:color w:val="0000FF"/>
                  <w:sz w:val="22"/>
                  <w:u w:val="single"/>
                </w:rPr>
                <w:t>10</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43">
              <w:r>
                <w:rPr>
                  <w:rStyle w:val="InternetLink"/>
                  <w:rFonts w:ascii="Times New Roman;serif" w:hAnsi="Times New Roman;serif"/>
                  <w:b w:val="false"/>
                  <w:color w:val="000080"/>
                  <w:sz w:val="22"/>
                  <w:u w:val="single"/>
                </w:rPr>
                <w:t>Property, plant</w:t>
              </w:r>
            </w:hyperlink>
            <w:hyperlink w:anchor="if960e4e3e02f4b2baa760ab420b41f9b_43">
              <w:r>
                <w:rPr>
                  <w:rStyle w:val="InternetLink"/>
                  <w:rFonts w:ascii="Times New Roman;serif" w:hAnsi="Times New Roman;serif"/>
                  <w:b w:val="false"/>
                  <w:color w:val="000080"/>
                  <w:sz w:val="22"/>
                  <w:u w:val="single"/>
                </w:rPr>
                <w:t xml:space="preserve"> and equipment, net</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43">
              <w:r>
                <w:rPr>
                  <w:rStyle w:val="InternetLink"/>
                  <w:rFonts w:ascii="Times New Roman;serif" w:hAnsi="Times New Roman;serif"/>
                  <w:b w:val="false"/>
                  <w:color w:val="0000FF"/>
                  <w:sz w:val="22"/>
                  <w:u w:val="single"/>
                </w:rPr>
                <w:t>11</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46">
              <w:r>
                <w:rPr>
                  <w:rStyle w:val="InternetLink"/>
                  <w:rFonts w:ascii="Times New Roman;serif" w:hAnsi="Times New Roman;serif"/>
                  <w:b w:val="false"/>
                  <w:color w:val="0000FF"/>
                  <w:sz w:val="22"/>
                  <w:u w:val="single"/>
                </w:rPr>
                <w:t>Accrued expenses and other current liabilities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46">
              <w:r>
                <w:rPr>
                  <w:rStyle w:val="InternetLink"/>
                  <w:rFonts w:ascii="Times New Roman;serif" w:hAnsi="Times New Roman;serif"/>
                  <w:b w:val="false"/>
                  <w:color w:val="0000FF"/>
                  <w:sz w:val="22"/>
                  <w:u w:val="single"/>
                </w:rPr>
                <w:t>11</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8</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52">
              <w:r>
                <w:rPr>
                  <w:rStyle w:val="InternetLink"/>
                  <w:rFonts w:ascii="Times New Roman;serif" w:hAnsi="Times New Roman;serif"/>
                  <w:b w:val="false"/>
                  <w:color w:val="0000FF"/>
                  <w:sz w:val="22"/>
                  <w:u w:val="single"/>
                </w:rPr>
                <w:t>Commitments and contingencies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52">
              <w:r>
                <w:rPr>
                  <w:rStyle w:val="InternetLink"/>
                  <w:rFonts w:ascii="Times New Roman;serif" w:hAnsi="Times New Roman;serif"/>
                  <w:b w:val="false"/>
                  <w:color w:val="0000FF"/>
                  <w:sz w:val="22"/>
                  <w:u w:val="single"/>
                </w:rPr>
                <w:t>12</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9</w:t>
            </w:r>
          </w:p>
        </w:tc>
        <w:tc>
          <w:tcPr>
            <w:tcW w:w="5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55">
              <w:r>
                <w:rPr>
                  <w:rStyle w:val="InternetLink"/>
                  <w:rFonts w:ascii="Times New Roman;serif" w:hAnsi="Times New Roman;serif"/>
                  <w:b w:val="false"/>
                  <w:color w:val="0000FF"/>
                  <w:sz w:val="22"/>
                  <w:u w:val="single"/>
                </w:rPr>
                <w:t>Debt</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55">
              <w:r>
                <w:rPr>
                  <w:rStyle w:val="InternetLink"/>
                  <w:rFonts w:ascii="Times New Roman;serif" w:hAnsi="Times New Roman;serif"/>
                  <w:b w:val="false"/>
                  <w:color w:val="0000FF"/>
                  <w:sz w:val="22"/>
                  <w:u w:val="single"/>
                </w:rPr>
                <w:t>14</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61">
              <w:r>
                <w:rPr>
                  <w:rStyle w:val="InternetLink"/>
                  <w:rFonts w:ascii="Times New Roman;serif" w:hAnsi="Times New Roman;serif"/>
                  <w:b w:val="false"/>
                  <w:color w:val="0000FF"/>
                  <w:sz w:val="22"/>
                  <w:u w:val="single"/>
                </w:rPr>
                <w:t>Equity</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61">
              <w:r>
                <w:rPr>
                  <w:rStyle w:val="InternetLink"/>
                  <w:rFonts w:ascii="Times New Roman;serif" w:hAnsi="Times New Roman;serif"/>
                  <w:b w:val="false"/>
                  <w:color w:val="0000FF"/>
                  <w:sz w:val="22"/>
                  <w:u w:val="single"/>
                </w:rPr>
                <w:t>17</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64">
              <w:r>
                <w:rPr>
                  <w:rStyle w:val="InternetLink"/>
                  <w:rFonts w:ascii="Times New Roman;serif" w:hAnsi="Times New Roman;serif"/>
                  <w:b w:val="false"/>
                  <w:color w:val="0000FF"/>
                  <w:sz w:val="22"/>
                  <w:u w:val="single"/>
                </w:rPr>
                <w:t>Revenue recognition</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64">
              <w:r>
                <w:rPr>
                  <w:rStyle w:val="InternetLink"/>
                  <w:rFonts w:ascii="Times New Roman;serif" w:hAnsi="Times New Roman;serif"/>
                  <w:b w:val="false"/>
                  <w:color w:val="0000FF"/>
                  <w:sz w:val="22"/>
                  <w:u w:val="single"/>
                </w:rPr>
                <w:t>19</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70">
              <w:r>
                <w:rPr>
                  <w:rStyle w:val="InternetLink"/>
                  <w:rFonts w:ascii="Times New Roman;serif" w:hAnsi="Times New Roman;serif"/>
                  <w:b w:val="false"/>
                  <w:color w:val="0000FF"/>
                  <w:sz w:val="22"/>
                  <w:u w:val="single"/>
                </w:rPr>
                <w:t>Stock-based compensation</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70">
              <w:r>
                <w:rPr>
                  <w:rStyle w:val="InternetLink"/>
                  <w:rFonts w:ascii="Times New Roman;serif" w:hAnsi="Times New Roman;serif"/>
                  <w:b w:val="false"/>
                  <w:color w:val="0000FF"/>
                  <w:sz w:val="22"/>
                  <w:u w:val="single"/>
                </w:rPr>
                <w:t>20</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13</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2526">
              <w:r>
                <w:rPr>
                  <w:rStyle w:val="InternetLink"/>
                  <w:rFonts w:ascii="Times New Roman;serif" w:hAnsi="Times New Roman;serif"/>
                  <w:b w:val="false"/>
                  <w:color w:val="0000FF"/>
                  <w:sz w:val="22"/>
                  <w:u w:val="single"/>
                </w:rPr>
                <w:t>Income taxes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2526">
              <w:r>
                <w:rPr>
                  <w:rStyle w:val="InternetLink"/>
                  <w:rFonts w:ascii="Times New Roman;serif" w:hAnsi="Times New Roman;serif"/>
                  <w:b w:val="false"/>
                  <w:color w:val="0000FF"/>
                  <w:sz w:val="22"/>
                  <w:u w:val="single"/>
                </w:rPr>
                <w:t>22</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14</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76">
              <w:r>
                <w:rPr>
                  <w:rStyle w:val="InternetLink"/>
                  <w:rFonts w:ascii="Times New Roman;serif" w:hAnsi="Times New Roman;serif"/>
                  <w:b w:val="false"/>
                  <w:color w:val="0000FF"/>
                  <w:sz w:val="22"/>
                  <w:u w:val="single"/>
                </w:rPr>
                <w:t>Fair value of financial instruments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76">
              <w:r>
                <w:rPr>
                  <w:rStyle w:val="InternetLink"/>
                  <w:rFonts w:ascii="Times New Roman;serif" w:hAnsi="Times New Roman;serif"/>
                  <w:b w:val="false"/>
                  <w:color w:val="0000FF"/>
                  <w:sz w:val="22"/>
                  <w:u w:val="single"/>
                </w:rPr>
                <w:t>22</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15</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79">
              <w:r>
                <w:rPr>
                  <w:rStyle w:val="InternetLink"/>
                  <w:rFonts w:ascii="Times New Roman;serif" w:hAnsi="Times New Roman;serif"/>
                  <w:b w:val="false"/>
                  <w:color w:val="0000FF"/>
                  <w:sz w:val="22"/>
                  <w:u w:val="single"/>
                </w:rPr>
                <w:t>Leases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79">
              <w:r>
                <w:rPr>
                  <w:rStyle w:val="InternetLink"/>
                  <w:rFonts w:ascii="Times New Roman;serif" w:hAnsi="Times New Roman;serif"/>
                  <w:b w:val="false"/>
                  <w:color w:val="0000FF"/>
                  <w:sz w:val="22"/>
                  <w:u w:val="single"/>
                </w:rPr>
                <w:t>24</w:t>
              </w:r>
            </w:hyperlink>
          </w:p>
        </w:tc>
      </w:tr>
      <w:tr>
        <w:trPr/>
        <w:tc>
          <w:tcPr>
            <w:tcW w:w="46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16</w:t>
            </w:r>
          </w:p>
        </w:tc>
        <w:tc>
          <w:tcPr>
            <w:tcW w:w="51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60e4e3e02f4b2baa760ab420b41f9b_82">
              <w:r>
                <w:rPr>
                  <w:rStyle w:val="InternetLink"/>
                  <w:rFonts w:ascii="Times New Roman;serif" w:hAnsi="Times New Roman;serif"/>
                  <w:b w:val="false"/>
                  <w:color w:val="0000FF"/>
                  <w:sz w:val="22"/>
                  <w:u w:val="single"/>
                </w:rPr>
                <w:t>Related party transactions</w:t>
              </w:r>
            </w:hyperlink>
          </w:p>
        </w:tc>
        <w:tc>
          <w:tcPr>
            <w:tcW w:w="39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60e4e3e02f4b2baa760ab420b41f9b_82">
              <w:r>
                <w:rPr>
                  <w:rStyle w:val="InternetLink"/>
                  <w:rFonts w:ascii="Times New Roman;serif" w:hAnsi="Times New Roman;serif"/>
                  <w:b w:val="false"/>
                  <w:color w:val="0000FF"/>
                  <w:sz w:val="22"/>
                  <w:u w:val="single"/>
                </w:rPr>
                <w:t>25</w:t>
              </w:r>
            </w:hyperlink>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5112"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3031"/>
        <w:gridCol w:w="2004"/>
        <w:gridCol w:w="2017"/>
        <w:gridCol w:w="226"/>
        <w:gridCol w:w="946"/>
        <w:gridCol w:w="109"/>
        <w:gridCol w:w="109"/>
        <w:gridCol w:w="109"/>
        <w:gridCol w:w="109"/>
        <w:gridCol w:w="226"/>
        <w:gridCol w:w="946"/>
        <w:gridCol w:w="109"/>
        <w:gridCol w:w="109"/>
        <w:gridCol w:w="155"/>
      </w:tblGrid>
      <w:tr>
        <w:trPr/>
        <w:tc>
          <w:tcPr>
            <w:tcW w:w="3031"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Accounts receivable,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 related party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Inventory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assets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LIABILITIES, CONVERTIBLE PREFERRED STOCK AND STOCKHOLDERS’ EQUITY (DEFICIT)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liabilities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21,641 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Debt, net of current portion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Debt, net of current portion, related party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derivative liability, related party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213,407 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198,117 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Commitments and contingencies, see note 8</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Series A Redeemable Convertible Preferred Stock, $0.001 par value; 2,000,000 shares authorized; 49,263 and 47,466 shares issued and outstanding, redemption value $50,187 and $48,356</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Stockholders’ (deficit)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Common Stock, $0.001 par value; 75,000,000 shares authorized; 37,697,012 and 37,477,386 shares issued and outstanding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bookmarkStart w:id="1" w:name="i043378255e494dfc8ed188606ebd7cb4_34-1-1"/>
            <w:bookmarkEnd w:id="1"/>
            <w:r>
              <w:rPr>
                <w:rFonts w:ascii="Times New Roman;serif" w:hAnsi="Times New Roman;serif"/>
                <w:b w:val="false"/>
                <w:color w:val="000000"/>
                <w:sz w:val="22"/>
              </w:rPr>
              <w:t>(244,337)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stockholders’ deficit</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liabilities, convertible preferred stock and stockholders’ deficit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2"/>
        </w:rPr>
      </w:pPr>
      <w:r>
        <w:rPr>
          <w:rFonts w:ascii="Times New Roman;serif" w:hAnsi="Times New Roman;serif"/>
          <w:b w:val="false"/>
          <w:i/>
          <w:color w:val="000000"/>
          <w:sz w:val="22"/>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597"/>
        <w:gridCol w:w="967"/>
        <w:gridCol w:w="976"/>
        <w:gridCol w:w="267"/>
        <w:gridCol w:w="979"/>
        <w:gridCol w:w="109"/>
        <w:gridCol w:w="109"/>
        <w:gridCol w:w="109"/>
        <w:gridCol w:w="109"/>
        <w:gridCol w:w="267"/>
        <w:gridCol w:w="979"/>
        <w:gridCol w:w="109"/>
        <w:gridCol w:w="109"/>
        <w:gridCol w:w="109"/>
        <w:gridCol w:w="109"/>
        <w:gridCol w:w="263"/>
        <w:gridCol w:w="983"/>
        <w:gridCol w:w="109"/>
        <w:gridCol w:w="109"/>
        <w:gridCol w:w="109"/>
        <w:gridCol w:w="109"/>
        <w:gridCol w:w="263"/>
        <w:gridCol w:w="983"/>
        <w:gridCol w:w="109"/>
        <w:gridCol w:w="109"/>
        <w:gridCol w:w="155"/>
      </w:tblGrid>
      <w:tr>
        <w:trPr/>
        <w:tc>
          <w:tcPr>
            <w:tcW w:w="159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 related party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recovery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 net of portion classified as cost of sales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Operating income (loss)</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Interest income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related party</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debt derivative liability, related party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income,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before income taxes</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Preferred stock dividends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Accretion of preferred stock to redemption value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available to common stockholders</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(23,061)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per share, 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shares outstanding, 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37,574,538 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37,007,838 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37,526,230 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37,014,204 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center"/>
        <w:rPr>
          <w:rFonts w:ascii="Times New Roman;serif" w:hAnsi="Times New Roman;serif"/>
          <w:b w:val="false"/>
          <w:i/>
          <w:color w:val="000000"/>
          <w:sz w:val="22"/>
        </w:rPr>
      </w:pPr>
      <w:r>
        <w:rPr>
          <w:rFonts w:ascii="Times New Roman;serif" w:hAnsi="Times New Roman;serif"/>
          <w:b w:val="false"/>
          <w:i/>
          <w:color w:val="000000"/>
          <w:sz w:val="22"/>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 xml:space="preserve">CONSOLIDATED STATEMENTS OF CONVERTIBLE PREFERRED STOCK AND STOCKHOLDERS’ EQUITY (DEFICIT)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(unaudited)</w:t>
      </w:r>
    </w:p>
    <w:tbl>
      <w:tblPr>
        <w:tblW w:w="11979" w:type="dxa"/>
        <w:jc w:val="left"/>
        <w:tblInd w:w="0" w:type="dxa"/>
        <w:tblLayout w:type="fixed"/>
        <w:tblCellMar>
          <w:top w:w="28" w:type="dxa"/>
          <w:left w:w="28" w:type="dxa"/>
          <w:bottom w:w="28" w:type="dxa"/>
          <w:right w:w="28" w:type="dxa"/>
        </w:tblCellMar>
      </w:tblPr>
      <w:tblGrid>
        <w:gridCol w:w="813"/>
        <w:gridCol w:w="306"/>
        <w:gridCol w:w="307"/>
        <w:gridCol w:w="413"/>
        <w:gridCol w:w="413"/>
        <w:gridCol w:w="226"/>
        <w:gridCol w:w="109"/>
        <w:gridCol w:w="109"/>
        <w:gridCol w:w="109"/>
        <w:gridCol w:w="226"/>
        <w:gridCol w:w="826"/>
        <w:gridCol w:w="109"/>
        <w:gridCol w:w="109"/>
        <w:gridCol w:w="109"/>
        <w:gridCol w:w="109"/>
        <w:gridCol w:w="109"/>
        <w:gridCol w:w="109"/>
        <w:gridCol w:w="109"/>
        <w:gridCol w:w="623"/>
        <w:gridCol w:w="623"/>
        <w:gridCol w:w="226"/>
        <w:gridCol w:w="109"/>
        <w:gridCol w:w="109"/>
        <w:gridCol w:w="109"/>
        <w:gridCol w:w="238"/>
        <w:gridCol w:w="427"/>
        <w:gridCol w:w="116"/>
        <w:gridCol w:w="109"/>
        <w:gridCol w:w="109"/>
        <w:gridCol w:w="109"/>
        <w:gridCol w:w="226"/>
        <w:gridCol w:w="946"/>
        <w:gridCol w:w="109"/>
        <w:gridCol w:w="109"/>
        <w:gridCol w:w="109"/>
        <w:gridCol w:w="109"/>
        <w:gridCol w:w="226"/>
        <w:gridCol w:w="961"/>
        <w:gridCol w:w="109"/>
        <w:gridCol w:w="109"/>
        <w:gridCol w:w="109"/>
        <w:gridCol w:w="109"/>
        <w:gridCol w:w="226"/>
        <w:gridCol w:w="841"/>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paid-in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equity (deficit)</w:t>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March 31,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48,356 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37,477,386 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209,706 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(238,181)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(28,438)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Dividends paid-in-kind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to redemption value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stock-based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219,626 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June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49,263 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37,697,012 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(244,337)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(34,094)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February 23,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44,894 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37,025,331 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(204,093)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Dividends paid-in-kind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Accretion to redemption value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stock-based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77,417 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Retirement of shares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(76,514)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May 25, 2025</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45,736 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37,026,234 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206,539 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(205,240)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2"/>
        </w:rPr>
      </w:pPr>
      <w:r>
        <w:rPr>
          <w:rFonts w:ascii="Times New Roman;serif" w:hAnsi="Times New Roman;serif"/>
          <w:b w:val="false"/>
          <w:i/>
          <w:color w:val="000000"/>
          <w:sz w:val="22"/>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CONSOLIDATED STATEMENTS OF CONVERTIBLE PREFERRED STOCK AND STOCKHOLDERS’ EQUITY (DEFICIT) (CONTINUED)</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w:t>
      </w:r>
    </w:p>
    <w:tbl>
      <w:tblPr>
        <w:tblW w:w="11979" w:type="dxa"/>
        <w:jc w:val="center"/>
        <w:tblInd w:w="0" w:type="dxa"/>
        <w:tblLayout w:type="fixed"/>
        <w:tblCellMar>
          <w:top w:w="28" w:type="dxa"/>
          <w:left w:w="28" w:type="dxa"/>
          <w:bottom w:w="28" w:type="dxa"/>
          <w:right w:w="28" w:type="dxa"/>
        </w:tblCellMar>
      </w:tblPr>
      <w:tblGrid>
        <w:gridCol w:w="813"/>
        <w:gridCol w:w="306"/>
        <w:gridCol w:w="307"/>
        <w:gridCol w:w="413"/>
        <w:gridCol w:w="413"/>
        <w:gridCol w:w="226"/>
        <w:gridCol w:w="109"/>
        <w:gridCol w:w="109"/>
        <w:gridCol w:w="109"/>
        <w:gridCol w:w="226"/>
        <w:gridCol w:w="826"/>
        <w:gridCol w:w="109"/>
        <w:gridCol w:w="109"/>
        <w:gridCol w:w="109"/>
        <w:gridCol w:w="109"/>
        <w:gridCol w:w="109"/>
        <w:gridCol w:w="109"/>
        <w:gridCol w:w="109"/>
        <w:gridCol w:w="623"/>
        <w:gridCol w:w="623"/>
        <w:gridCol w:w="226"/>
        <w:gridCol w:w="109"/>
        <w:gridCol w:w="109"/>
        <w:gridCol w:w="109"/>
        <w:gridCol w:w="238"/>
        <w:gridCol w:w="427"/>
        <w:gridCol w:w="116"/>
        <w:gridCol w:w="109"/>
        <w:gridCol w:w="109"/>
        <w:gridCol w:w="109"/>
        <w:gridCol w:w="226"/>
        <w:gridCol w:w="946"/>
        <w:gridCol w:w="109"/>
        <w:gridCol w:w="109"/>
        <w:gridCol w:w="109"/>
        <w:gridCol w:w="109"/>
        <w:gridCol w:w="226"/>
        <w:gridCol w:w="961"/>
        <w:gridCol w:w="109"/>
        <w:gridCol w:w="109"/>
        <w:gridCol w:w="109"/>
        <w:gridCol w:w="109"/>
        <w:gridCol w:w="226"/>
        <w:gridCol w:w="841"/>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paid-in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equity (deficit)</w:t>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47,466 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37,477,386 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(223,201)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(14,202)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Dividends paid-in-kind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Accretion to redemption value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stock-based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219,626 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June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49,263 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37,697,012 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(244,337)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(34,094)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November 24,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44,068 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36,980,790 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204,736 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15,449 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Issuance of stock, net of fees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Dividends paid-in-kind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(1,689)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to redemption value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 of stock-based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121,958 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Retirement of shares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(76,514)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May 25, 2025</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45,736 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46,097 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37,026,234 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206,539 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(205,240)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2"/>
        </w:rPr>
      </w:pPr>
      <w:r>
        <w:rPr>
          <w:rFonts w:ascii="Times New Roman;serif" w:hAnsi="Times New Roman;serif"/>
          <w:b w:val="false"/>
          <w:i/>
          <w:color w:val="000000"/>
          <w:sz w:val="22"/>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CONSOLIDATED STATEMENTS OF CASH FLOWS</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590"/>
        <w:gridCol w:w="2261"/>
        <w:gridCol w:w="2267"/>
        <w:gridCol w:w="226"/>
        <w:gridCol w:w="912"/>
        <w:gridCol w:w="109"/>
        <w:gridCol w:w="109"/>
        <w:gridCol w:w="109"/>
        <w:gridCol w:w="109"/>
        <w:gridCol w:w="226"/>
        <w:gridCol w:w="912"/>
        <w:gridCol w:w="109"/>
        <w:gridCol w:w="109"/>
        <w:gridCol w:w="157"/>
      </w:tblGrid>
      <w:tr>
        <w:trPr/>
        <w:tc>
          <w:tcPr>
            <w:tcW w:w="259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flows from operating activities: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Adjustments to reconcile net loss to net cash provided by operating activities: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Depreciation</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Non-cash interest expense, inclusive of related party</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Change in fair value of debt derivative liability, related party</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Gain on settlement of lease liability</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Changes in operating assets and liabilities: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Accounts receivable, inclusive of related party</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Contract assets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Inventory</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liabilities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w:t>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flows from investing activities: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Purchases of property, plant, and equipment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Proceeds from sale of equipment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cash used in investing activities</w:t>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flows from financing activities: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Payments on revolving credit facility</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Proceeds from revolving credit facility</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related to employee stock plans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financing activities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cash used in financing activities</w:t>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decrease in cash and cash equivalents</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 beginning of period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17,241 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See accompanying notes to the consolidated financial statements, including note 1 for supplemental cash flow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LIFECORE BIOMEDICAL, INC.</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NOTES TO THE CONSOLIDATED FINANCIAL STATEMENTS</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 (amounts in thousands of U.S. dollars, except share and per share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    Organization, basis of presentation and summary of significant accounting policies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Organization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Lifecore Biomedical, Inc. and its subsidiaries (“Lifecore” or the “Company”) is a fully integrated contract development and manufacturing organization (“CDMO”) that provides services in the development, fill and finish of complex sterile injectable pharmaceutical products in syringes, vials and cartridges.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accompanying unaudited consolidated financial statements of the Company have been prepared in accordance with U.S. Generally Accepted Accounting Principles (“U.S. GAAP”) for interim financial information, the instructions for Form 10-Q and Regulation S-X of the Securities and Exchange Commission (the “SEC”). In the opinion of management, all adjustments (which were of a normal recurring nature) have been made which are necessary to present fairly the financial position of the Company at June 30, 2026, and the results of operations and cash flows for all periods presented.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Although the Company believes that the disclosures in these financial statements are adequate to make the information presented not misleading, certain information normally included in the notes to the financial statements prepared following U.S. GAAP may have been condensed or omitted per the rules and regulations of the SEC. The accompanying financial data should be reviewed in conjunction with the audited financial statements and accompanying notes included in the Company’s Transition Report on Form 10-KT for the transition period ended December 31, 2025.</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accounting policies underlying the accompanying consolidated financial statements are set forth in note 1 to the consolidated financial statements included in the Company’s Transition Report on Form 10-KT for the transition period ended December 31, 2025. There have been no material changes in the Company’s significant accounting policies during the six months ended June 30, 2026.</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August 1, 2025, the Company’s Board of Directors approved changing its fiscal year from a fiscal year ending on the last Sunday of May to a calendar year (the “Fiscal Year Change”), and the Company has reported calendar periods since September 30, 2025. In accordance with SEC rules, the Company is presenting current period results compared to the most closely-comparable prior periods that can be derived from previously-reported results, which for this report were the three and six months ended May 25, 2025. With the exception of certain statements of operations, the Company did not previously report these periods on a standalone basis; rather, those periods were generally derived from the audited financial statements in the Company’s Form 10-K for the year ended May 25, 2025, less the unaudited results reported in its Forms 10-Q for the nine months ended February 23, 2025 and the six months ended November 24, 2024, respectively. In deriving the comparative period results, the Company reclassified certain amounts from previously-reported results to present them on a basis consistent with the current period presentation and, in some cases, the previously audited annual results. It was not practicable or cost-justifiable for the Company to prepare equivalent calendar-based comparative periods because the Company’s previous fiscal calendar does not align to the new calendar periods. The Company will begin providing calendar-based comparative periods beginning with its reporting as of and for the periods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Basis of consolidation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consolidated financial statements have been prepared in accordance with U.S. GAAP. All intercompany accounts and transactions have been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Use of estimates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preparation of financial statements and the notes to the financial statements in accordance with U.S. GAAP requires management to make estimates and judgments that affect the amounts reported. The accounting estimates that require management’s most significant and subjective judgments include revenue recognition for development services; the establishment of valuation allowances on deferred income tax assets; evaluating assets for reserves and potential impairment; and the valuation of the debt derivative liability. Actual results may differ from management’s estimates.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Supplemental disclosures of cash flow information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supplemental cash flow information:</w:t>
      </w:r>
    </w:p>
    <w:tbl>
      <w:tblPr>
        <w:tblW w:w="9656" w:type="dxa"/>
        <w:jc w:val="left"/>
        <w:tblInd w:w="0" w:type="dxa"/>
        <w:tblLayout w:type="fixed"/>
        <w:tblCellMar>
          <w:top w:w="28" w:type="dxa"/>
          <w:left w:w="28" w:type="dxa"/>
          <w:bottom w:w="28" w:type="dxa"/>
          <w:right w:w="28" w:type="dxa"/>
        </w:tblCellMar>
      </w:tblPr>
      <w:tblGrid>
        <w:gridCol w:w="2680"/>
        <w:gridCol w:w="2361"/>
        <w:gridCol w:w="2369"/>
        <w:gridCol w:w="252"/>
        <w:gridCol w:w="454"/>
        <w:gridCol w:w="119"/>
        <w:gridCol w:w="109"/>
        <w:gridCol w:w="109"/>
        <w:gridCol w:w="109"/>
        <w:gridCol w:w="226"/>
        <w:gridCol w:w="496"/>
        <w:gridCol w:w="109"/>
        <w:gridCol w:w="109"/>
        <w:gridCol w:w="154"/>
      </w:tblGrid>
      <w:tr>
        <w:trPr/>
        <w:tc>
          <w:tcPr>
            <w:tcW w:w="2680"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paid (refunded) for income taxes, net</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Cash paid for interest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Non-cash investing and financing activities:</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Purchases of property, plant and equipment in accounts payable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Non-cash portion of sale of property, plant and equipment via note receivable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Capitalization of non-cash interest to property, plant and equipment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Dividends paid-in-kind on Redeemable Convertible Preferred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Recent accounting pronouncements</w:t>
      </w:r>
    </w:p>
    <w:p>
      <w:pPr>
        <w:pStyle w:val="TextBody"/>
        <w:bidi w:val="0"/>
        <w:spacing w:lineRule="auto" w:line="288" w:before="0" w:after="200"/>
        <w:jc w:val="both"/>
        <w:rPr/>
      </w:pPr>
      <w:r>
        <w:rPr>
          <w:rFonts w:ascii="Times New Roman;serif" w:hAnsi="Times New Roman;serif"/>
          <w:b w:val="false"/>
          <w:color w:val="000000"/>
          <w:sz w:val="22"/>
        </w:rPr>
        <w:t xml:space="preserve">In November 2024, the Financial Accounting Standards Board (“FASB”) issued accounting standards update 2024-03, </w:t>
      </w:r>
      <w:r>
        <w:rPr>
          <w:rFonts w:ascii="Times New Roman;serif" w:hAnsi="Times New Roman;serif"/>
          <w:b w:val="false"/>
          <w:i/>
          <w:color w:val="000000"/>
          <w:sz w:val="22"/>
        </w:rPr>
        <w:t>Income Statement—Reporting Comprehensive Income—Expense Disaggregation Disclosures (Subtopic 220-40): Disaggregation of Income Statement Expenses</w:t>
      </w:r>
      <w:r>
        <w:rPr>
          <w:rFonts w:ascii="Times New Roman;serif" w:hAnsi="Times New Roman;serif"/>
          <w:b w:val="false"/>
          <w:color w:val="000000"/>
          <w:sz w:val="22"/>
        </w:rPr>
        <w:t>, which was subsequently clarified by accounting standards update 2025-01, to require more detailed disclosures related to certain costs and expenses. The guidance requires entities to disclose amounts of certain expense categories included in expense captions presented on the face of the income statement, including purchases of inventory, employee compensation, depreciation, and intangible asset amortization. This guidance is effective for public entities for annual periods beginning after December 15, 2026, which for Lifecore begins with the year ending December 31, 2027, and for interim reporting periods following that year. Management is currently evaluating the impact that the adoption of this update will have on its financial statements.</w:t>
      </w:r>
    </w:p>
    <w:p>
      <w:pPr>
        <w:pStyle w:val="TextBody"/>
        <w:bidi w:val="0"/>
        <w:spacing w:lineRule="auto" w:line="288" w:before="0" w:after="200"/>
        <w:jc w:val="both"/>
        <w:rPr/>
      </w:pPr>
      <w:r>
        <w:rPr>
          <w:rFonts w:ascii="Times New Roman;serif" w:hAnsi="Times New Roman;serif"/>
          <w:b w:val="false"/>
          <w:color w:val="000000"/>
          <w:sz w:val="22"/>
        </w:rPr>
        <w:t xml:space="preserve">In September 2025, the FASB issued accounting standards update 2025-06, </w:t>
      </w:r>
      <w:r>
        <w:rPr>
          <w:rFonts w:ascii="Times New Roman;serif" w:hAnsi="Times New Roman;serif"/>
          <w:b w:val="false"/>
          <w:i/>
          <w:color w:val="000000"/>
          <w:sz w:val="22"/>
        </w:rPr>
        <w:t>Targeted Improvements to the Accounting for Internal-Use Software</w:t>
      </w:r>
      <w:r>
        <w:rPr>
          <w:rFonts w:ascii="Times New Roman;serif" w:hAnsi="Times New Roman;serif"/>
          <w:b w:val="false"/>
          <w:color w:val="000000"/>
          <w:sz w:val="22"/>
        </w:rPr>
        <w:t>, to modernize the recognition and disclosure framework for internal-use software costs, removing the previous “development stage” model and introducing a more judgment-based approach. This guidance is effective for annual periods beginning after December 15, 2027, which for Lifecore begins with the year ending December 31, 2028, and interim periods therein. Early adoption is permitted as of the beginning of an annual reporting period. Management is currently evaluating the impact that the adoption of this update may have on its financial statements.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Management has evaluated recently issued accounting pronouncements outside of those mentioned above and does not believe that any of these pronouncements will have a significant impact on the Company’s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2.    Income or loss per share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Due to the Company’s net loss for all periods presented, the inclusion of dilutive securities would be antidilutive because it would reduce the amount of loss incurred per share. As a result, no additional dilutive shares were included in diluted loss per share, and there were no differences between basic and diluted loss per share.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securities on an as-converted basis were excluded from the computations of diluted loss per share:</w:t>
      </w:r>
    </w:p>
    <w:tbl>
      <w:tblPr>
        <w:tblW w:w="10205" w:type="dxa"/>
        <w:jc w:val="left"/>
        <w:tblInd w:w="0" w:type="dxa"/>
        <w:tblLayout w:type="fixed"/>
        <w:tblCellMar>
          <w:top w:w="28" w:type="dxa"/>
          <w:left w:w="28" w:type="dxa"/>
          <w:bottom w:w="28" w:type="dxa"/>
          <w:right w:w="28" w:type="dxa"/>
        </w:tblCellMar>
      </w:tblPr>
      <w:tblGrid>
        <w:gridCol w:w="1065"/>
        <w:gridCol w:w="933"/>
        <w:gridCol w:w="940"/>
        <w:gridCol w:w="623"/>
        <w:gridCol w:w="623"/>
        <w:gridCol w:w="222"/>
        <w:gridCol w:w="170"/>
        <w:gridCol w:w="170"/>
        <w:gridCol w:w="170"/>
        <w:gridCol w:w="623"/>
        <w:gridCol w:w="623"/>
        <w:gridCol w:w="218"/>
        <w:gridCol w:w="109"/>
        <w:gridCol w:w="109"/>
        <w:gridCol w:w="109"/>
        <w:gridCol w:w="623"/>
        <w:gridCol w:w="623"/>
        <w:gridCol w:w="239"/>
        <w:gridCol w:w="151"/>
        <w:gridCol w:w="151"/>
        <w:gridCol w:w="151"/>
        <w:gridCol w:w="623"/>
        <w:gridCol w:w="623"/>
        <w:gridCol w:w="314"/>
      </w:tblGrid>
      <w:tr>
        <w:trPr/>
        <w:tc>
          <w:tcPr>
            <w:tcW w:w="10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Redeemable Convertible Preferred Stock</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7,681,847 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7,091,531 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7,681,847 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7,091,531 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 options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1,293,036 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1,260,299 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1,293,036 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1,260,299 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RSUs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1,695,376 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1,519,287 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1,695,376 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1,519,287 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PSUs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2,283,000 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2,545,000 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2,283,000 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2,545,000 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12,953,259 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12,416,117 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12,953,259 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12,416,117 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See note 10 for more information about Redeemable Convertible Preferred Stock and note 12 for more information about stock options, restricted stock units (“RSUs”) and performance share units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3.    Segment reporting for single reportable segment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income or loss, which is the measure of profit or loss used for the Company’s single reportable segment:</w:t>
      </w:r>
    </w:p>
    <w:tbl>
      <w:tblPr>
        <w:tblW w:w="10205" w:type="dxa"/>
        <w:jc w:val="left"/>
        <w:tblInd w:w="0" w:type="dxa"/>
        <w:tblLayout w:type="fixed"/>
        <w:tblCellMar>
          <w:top w:w="28" w:type="dxa"/>
          <w:left w:w="28" w:type="dxa"/>
          <w:bottom w:w="28" w:type="dxa"/>
          <w:right w:w="28" w:type="dxa"/>
        </w:tblCellMar>
      </w:tblPr>
      <w:tblGrid>
        <w:gridCol w:w="1504"/>
        <w:gridCol w:w="1323"/>
        <w:gridCol w:w="1326"/>
        <w:gridCol w:w="226"/>
        <w:gridCol w:w="826"/>
        <w:gridCol w:w="109"/>
        <w:gridCol w:w="109"/>
        <w:gridCol w:w="109"/>
        <w:gridCol w:w="109"/>
        <w:gridCol w:w="226"/>
        <w:gridCol w:w="826"/>
        <w:gridCol w:w="109"/>
        <w:gridCol w:w="109"/>
        <w:gridCol w:w="109"/>
        <w:gridCol w:w="109"/>
        <w:gridCol w:w="226"/>
        <w:gridCol w:w="906"/>
        <w:gridCol w:w="109"/>
        <w:gridCol w:w="109"/>
        <w:gridCol w:w="109"/>
        <w:gridCol w:w="109"/>
        <w:gridCol w:w="226"/>
        <w:gridCol w:w="906"/>
        <w:gridCol w:w="109"/>
        <w:gridCol w:w="109"/>
        <w:gridCol w:w="158"/>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Personnel costs</w:t>
            </w:r>
            <w:r>
              <w:rPr>
                <w:rFonts w:ascii="Times New Roman;serif" w:hAnsi="Times New Roman;serif"/>
                <w:b w:val="false"/>
                <w:color w:val="000000"/>
                <w:sz w:val="14"/>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Materials and non-depreciation overhead</w:t>
            </w:r>
            <w:r>
              <w:rPr>
                <w:rFonts w:ascii="Times New Roman;serif" w:hAnsi="Times New Roman;serif"/>
                <w:b w:val="false"/>
                <w:color w:val="000000"/>
                <w:sz w:val="14"/>
              </w:rPr>
              <w:t>(2)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Reorganization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All other operating expenses</w:t>
            </w:r>
            <w:r>
              <w:rPr>
                <w:rFonts w:ascii="Times New Roman;serif" w:hAnsi="Times New Roman;serif"/>
                <w:b w:val="false"/>
                <w:color w:val="000000"/>
                <w:sz w:val="14"/>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debt derivative liability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loss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(21,136)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(1)Includes all wages and salary, bonus, employer taxes, and employee benefit plan expenses</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(2)Represents cost of sales, excluding direct labor and all personnel cost and depreciation allocations</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(3)Includes expenses for accounting, legal and other professional services, software licensing, insurance costs, public company costs and board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For the three months ended June 30, 2026, the Company earned revenue of approximately 70% in the United States, 20% in Belgium and 10% in all other countries combined. For the three months ended May 25, 2025, the Company earned revenue of approximately 60% in the United States, 25% in Belgium and 15% in all other countries combined. For the six months ended June 30, 2026, the Company earned revenue of approximately 75% in the United States, 10% in Belgium and 15% in all other countries combined. For the six months ended May 25, 2025, the Company earned revenue of approximately 55% in the United States, 30% in Belgium and 15% in all other countries combined.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4.    Accounts and note receivable</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Accounts receivable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Two of the Company’s customers had accounts receivable concentrations of 10% or greater as of June 30, 2026, with those customers comprising 54% and 19% of accounts receivable. Two of the Company’s customers had accounts receivable concentrations of 10% or greater as of December 31, 2025, with those customers comprising 48% and 10% of accounts receivable.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Changes in the allowance for credit losses related to accounts receivable are as follows:</w:t>
      </w:r>
    </w:p>
    <w:tbl>
      <w:tblPr>
        <w:tblW w:w="5822" w:type="dxa"/>
        <w:jc w:val="left"/>
        <w:tblInd w:w="0" w:type="dxa"/>
        <w:tblLayout w:type="fixed"/>
        <w:tblCellMar>
          <w:top w:w="28" w:type="dxa"/>
          <w:left w:w="28" w:type="dxa"/>
          <w:bottom w:w="28" w:type="dxa"/>
          <w:right w:w="28" w:type="dxa"/>
        </w:tblCellMar>
      </w:tblPr>
      <w:tblGrid>
        <w:gridCol w:w="1141"/>
        <w:gridCol w:w="1003"/>
        <w:gridCol w:w="1006"/>
        <w:gridCol w:w="226"/>
        <w:gridCol w:w="706"/>
        <w:gridCol w:w="109"/>
        <w:gridCol w:w="109"/>
        <w:gridCol w:w="109"/>
        <w:gridCol w:w="109"/>
        <w:gridCol w:w="226"/>
        <w:gridCol w:w="706"/>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balance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Provision (reversal of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Charge-offs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Ending balance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Note receivable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On January 7, 2025, the Company accepted a $10,000 note as a portion of the proceeds from the sale of certain excess equipment described in note 6. The note would have matured on July 7, 2026 and was payable by the note holder in whole or in part at any time prior to maturity without penalty or premium. Otherwise, it was scheduled to be collected as follows: $4,000 on July 7, 2025, $4,000 on January 7, 2026 and $2,000 on July 7, 2026.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note was interest-free through July 7, 2025, and thereafter principal would have earned interest at the U.S. prime rate plus 1% until repayment. Management concluded that interest should have been imputed for the full duration of the note at an effective interest rate of 8.5%, representing the stated rate. As a result, the Company recorded an initial discount of $410 as an offset to the noncurrent portion of the note based on its maturity date at that time. In June 2025, the note holder paid the note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5.    Inventory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inventory:</w:t>
      </w:r>
    </w:p>
    <w:tbl>
      <w:tblPr>
        <w:tblW w:w="4660" w:type="dxa"/>
        <w:jc w:val="left"/>
        <w:tblInd w:w="0" w:type="dxa"/>
        <w:tblLayout w:type="fixed"/>
        <w:tblCellMar>
          <w:top w:w="28" w:type="dxa"/>
          <w:left w:w="28" w:type="dxa"/>
          <w:bottom w:w="28" w:type="dxa"/>
          <w:right w:w="28" w:type="dxa"/>
        </w:tblCellMar>
      </w:tblPr>
      <w:tblGrid>
        <w:gridCol w:w="598"/>
        <w:gridCol w:w="524"/>
        <w:gridCol w:w="527"/>
        <w:gridCol w:w="226"/>
        <w:gridCol w:w="826"/>
        <w:gridCol w:w="109"/>
        <w:gridCol w:w="109"/>
        <w:gridCol w:w="109"/>
        <w:gridCol w:w="109"/>
        <w:gridCol w:w="245"/>
        <w:gridCol w:w="897"/>
        <w:gridCol w:w="118"/>
        <w:gridCol w:w="109"/>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Finished goods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11,845 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Raw materials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Work in process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Inventory</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25,475 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29,085 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6.    Property, plant and equipment, net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All property, plant and equipment is located in the United States. The following table presents the components of property, plant and equipment:</w:t>
      </w:r>
    </w:p>
    <w:tbl>
      <w:tblPr>
        <w:tblW w:w="6812" w:type="dxa"/>
        <w:jc w:val="left"/>
        <w:tblInd w:w="0" w:type="dxa"/>
        <w:tblLayout w:type="fixed"/>
        <w:tblCellMar>
          <w:top w:w="28" w:type="dxa"/>
          <w:left w:w="28" w:type="dxa"/>
          <w:bottom w:w="28" w:type="dxa"/>
          <w:right w:w="28" w:type="dxa"/>
        </w:tblCellMar>
      </w:tblPr>
      <w:tblGrid>
        <w:gridCol w:w="1325"/>
        <w:gridCol w:w="1166"/>
        <w:gridCol w:w="1169"/>
        <w:gridCol w:w="226"/>
        <w:gridCol w:w="946"/>
        <w:gridCol w:w="109"/>
        <w:gridCol w:w="109"/>
        <w:gridCol w:w="109"/>
        <w:gridCol w:w="109"/>
        <w:gridCol w:w="226"/>
        <w:gridCol w:w="946"/>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Land and land improvements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Buildings and building improvements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Machinery and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Computer equipment and software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Furniture and fixtures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Construction in process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gross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186,848 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186,464 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Less: accumulated depreciation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net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123,714 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127,304 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22"/>
          <w:shd w:fill="FFFFFF" w:val="clear"/>
        </w:rPr>
        <w:t xml:space="preserve">On January 7, 2025, the Company entered into an agreement for the sale of certain excess equipment. The aggregate purchase price was </w:t>
      </w:r>
      <w:r>
        <w:rPr>
          <w:rFonts w:ascii="Times New Roman;serif" w:hAnsi="Times New Roman;serif"/>
          <w:b w:val="false"/>
          <w:color w:val="000000"/>
          <w:sz w:val="22"/>
        </w:rPr>
        <w:t>$17,000</w:t>
      </w:r>
      <w:r>
        <w:rPr>
          <w:rFonts w:ascii="Times New Roman;serif" w:hAnsi="Times New Roman;serif"/>
          <w:b w:val="false"/>
          <w:color w:val="000000"/>
          <w:sz w:val="22"/>
          <w:shd w:fill="FFFFFF" w:val="clear"/>
        </w:rPr>
        <w:t xml:space="preserve">. Lifecore received </w:t>
      </w:r>
      <w:r>
        <w:rPr>
          <w:rFonts w:ascii="Times New Roman;serif" w:hAnsi="Times New Roman;serif"/>
          <w:b w:val="false"/>
          <w:color w:val="000000"/>
          <w:sz w:val="22"/>
        </w:rPr>
        <w:t>$7,000</w:t>
      </w:r>
      <w:r>
        <w:rPr>
          <w:color w:val="000000"/>
          <w:shd w:fill="FFFFFF" w:val="clear"/>
        </w:rPr>
        <w:t xml:space="preserve"> </w:t>
      </w:r>
      <w:r>
        <w:rPr>
          <w:rFonts w:ascii="Times New Roman;serif" w:hAnsi="Times New Roman;serif"/>
          <w:b w:val="false"/>
          <w:color w:val="000000"/>
          <w:sz w:val="22"/>
          <w:shd w:fill="FFFFFF" w:val="clear"/>
        </w:rPr>
        <w:t xml:space="preserve">cash and paid fees of </w:t>
      </w:r>
      <w:r>
        <w:rPr>
          <w:rFonts w:ascii="Times New Roman;serif" w:hAnsi="Times New Roman;serif"/>
          <w:b w:val="false"/>
          <w:color w:val="000000"/>
          <w:sz w:val="22"/>
        </w:rPr>
        <w:t>$752 at closing</w:t>
      </w:r>
      <w:r>
        <w:rPr>
          <w:rFonts w:ascii="Times New Roman;serif" w:hAnsi="Times New Roman;serif"/>
          <w:b w:val="false"/>
          <w:color w:val="000000"/>
          <w:sz w:val="22"/>
          <w:shd w:fill="FFFFFF" w:val="clear"/>
        </w:rPr>
        <w:t xml:space="preserve">. Lifecore also accepted a note for the remainder of the proceeds (see note </w:t>
      </w:r>
      <w:r>
        <w:rPr>
          <w:rFonts w:ascii="Times New Roman;serif" w:hAnsi="Times New Roman;serif"/>
          <w:b w:val="false"/>
          <w:color w:val="000000"/>
          <w:sz w:val="22"/>
        </w:rPr>
        <w:t>4)</w:t>
      </w:r>
      <w:r>
        <w:rPr>
          <w:color w:val="000000"/>
          <w:shd w:fill="FFFFFF" w:val="clear"/>
        </w:rPr>
        <w:t xml:space="preserve"> </w:t>
      </w:r>
      <w:r>
        <w:rPr>
          <w:rFonts w:ascii="Times New Roman;serif" w:hAnsi="Times New Roman;serif"/>
          <w:b w:val="false"/>
          <w:color w:val="000000"/>
          <w:sz w:val="22"/>
          <w:shd w:fill="FFFFFF" w:val="clear"/>
        </w:rPr>
        <w:t xml:space="preserve">and recorded current and noncurrent payables of </w:t>
      </w:r>
      <w:r>
        <w:rPr>
          <w:rFonts w:ascii="Times New Roman;serif" w:hAnsi="Times New Roman;serif"/>
          <w:b w:val="false"/>
          <w:color w:val="000000"/>
          <w:sz w:val="22"/>
        </w:rPr>
        <w:t>$800</w:t>
      </w:r>
      <w:r>
        <w:rPr>
          <w:color w:val="000000"/>
          <w:shd w:fill="FFFFFF" w:val="clear"/>
        </w:rPr>
        <w:t xml:space="preserve"> </w:t>
      </w:r>
      <w:r>
        <w:rPr>
          <w:rFonts w:ascii="Times New Roman;serif" w:hAnsi="Times New Roman;serif"/>
          <w:b w:val="false"/>
          <w:color w:val="000000"/>
          <w:sz w:val="22"/>
          <w:shd w:fill="FFFFFF" w:val="clear"/>
        </w:rPr>
        <w:t xml:space="preserve">and </w:t>
      </w:r>
      <w:r>
        <w:rPr>
          <w:rFonts w:ascii="Times New Roman;serif" w:hAnsi="Times New Roman;serif"/>
          <w:b w:val="false"/>
          <w:color w:val="000000"/>
          <w:sz w:val="22"/>
        </w:rPr>
        <w:t>$200</w:t>
      </w:r>
      <w:r>
        <w:rPr>
          <w:rFonts w:ascii="Times New Roman;serif" w:hAnsi="Times New Roman;serif"/>
          <w:b w:val="false"/>
          <w:color w:val="000000"/>
          <w:sz w:val="22"/>
          <w:shd w:fill="FFFFFF" w:val="clear"/>
        </w:rPr>
        <w:t>, respectively, for selling fees due to a third-party broker. The note and the payables were each cash-settled in June 2025. The sale resulted in a</w:t>
      </w:r>
      <w:r>
        <w:rPr>
          <w:color w:val="000000"/>
        </w:rPr>
        <w:t xml:space="preserve"> </w:t>
      </w:r>
      <w:r>
        <w:rPr>
          <w:rFonts w:ascii="Times New Roman;serif" w:hAnsi="Times New Roman;serif"/>
          <w:b w:val="false"/>
          <w:color w:val="000000"/>
          <w:sz w:val="22"/>
        </w:rPr>
        <w:t>$21,239</w:t>
      </w:r>
      <w:r>
        <w:rPr>
          <w:color w:val="000000"/>
          <w:shd w:fill="FFFFFF" w:val="clear"/>
        </w:rPr>
        <w:t xml:space="preserve"> </w:t>
      </w:r>
      <w:r>
        <w:rPr>
          <w:rFonts w:ascii="Times New Roman;serif" w:hAnsi="Times New Roman;serif"/>
          <w:b w:val="false"/>
          <w:color w:val="000000"/>
          <w:sz w:val="22"/>
          <w:shd w:fill="FFFFFF" w:val="clear"/>
        </w:rPr>
        <w:t xml:space="preserve">reduction in idle construction in process. The Company recorded a loss on the sale of the equipment of </w:t>
      </w:r>
      <w:r>
        <w:rPr>
          <w:rFonts w:ascii="Times New Roman;serif" w:hAnsi="Times New Roman;serif"/>
          <w:b w:val="false"/>
          <w:color w:val="000000"/>
          <w:sz w:val="22"/>
        </w:rPr>
        <w:t>$6,400</w:t>
      </w:r>
      <w:r>
        <w:rPr>
          <w:rFonts w:ascii="Times New Roman;serif" w:hAnsi="Times New Roman;serif"/>
          <w:b w:val="false"/>
          <w:color w:val="000000"/>
          <w:sz w:val="22"/>
          <w:shd w:fill="FFFFFF" w:val="clear"/>
        </w:rPr>
        <w:t>, which is included in loss on sale or disposal of assets, net of portion classified as cost of sales, within the statement of operations.</w:t>
      </w:r>
    </w:p>
    <w:p>
      <w:pPr>
        <w:pStyle w:val="TextBody"/>
        <w:bidi w:val="0"/>
        <w:spacing w:lineRule="auto" w:line="288" w:before="0" w:after="200"/>
        <w:jc w:val="both"/>
        <w:rPr/>
      </w:pPr>
      <w:r>
        <w:rPr>
          <w:rFonts w:ascii="Times New Roman;serif" w:hAnsi="Times New Roman;serif"/>
          <w:b w:val="false"/>
          <w:color w:val="000000"/>
          <w:sz w:val="22"/>
          <w:shd w:fill="FFFFFF" w:val="clear"/>
        </w:rPr>
        <w:t xml:space="preserve">Depreciation expense for property, plant and equipment for the </w:t>
      </w:r>
      <w:r>
        <w:rPr>
          <w:rFonts w:ascii="Times New Roman;serif" w:hAnsi="Times New Roman;serif"/>
          <w:b w:val="false"/>
          <w:color w:val="000000"/>
          <w:sz w:val="22"/>
        </w:rPr>
        <w:t>three months ended June 30, 2026</w:t>
      </w:r>
      <w:r>
        <w:rPr>
          <w:color w:val="000000"/>
          <w:shd w:fill="FFFFFF" w:val="clear"/>
        </w:rPr>
        <w:t xml:space="preserve"> </w:t>
      </w:r>
      <w:r>
        <w:rPr>
          <w:rFonts w:ascii="Times New Roman;serif" w:hAnsi="Times New Roman;serif"/>
          <w:b w:val="false"/>
          <w:color w:val="000000"/>
          <w:sz w:val="22"/>
          <w:shd w:fill="FFFFFF" w:val="clear"/>
        </w:rPr>
        <w:t xml:space="preserve">and </w:t>
      </w:r>
      <w:r>
        <w:rPr>
          <w:rFonts w:ascii="Times New Roman;serif" w:hAnsi="Times New Roman;serif"/>
          <w:b w:val="false"/>
          <w:color w:val="000000"/>
          <w:sz w:val="22"/>
        </w:rPr>
        <w:t xml:space="preserve">May 25, 2025 </w:t>
      </w:r>
      <w:r>
        <w:rPr>
          <w:rFonts w:ascii="Times New Roman;serif" w:hAnsi="Times New Roman;serif"/>
          <w:b w:val="false"/>
          <w:color w:val="000000"/>
          <w:sz w:val="22"/>
          <w:shd w:fill="FFFFFF" w:val="clear"/>
        </w:rPr>
        <w:t xml:space="preserve">was </w:t>
      </w:r>
      <w:r>
        <w:rPr>
          <w:rFonts w:ascii="Times New Roman;serif" w:hAnsi="Times New Roman;serif"/>
          <w:b w:val="false"/>
          <w:color w:val="000000"/>
          <w:sz w:val="22"/>
        </w:rPr>
        <w:t>$2,515 and $1,913</w:t>
      </w:r>
      <w:r>
        <w:rPr>
          <w:rFonts w:ascii="Times New Roman;serif" w:hAnsi="Times New Roman;serif"/>
          <w:b w:val="false"/>
          <w:color w:val="000000"/>
          <w:sz w:val="22"/>
          <w:shd w:fill="FFFFFF" w:val="clear"/>
        </w:rPr>
        <w:t xml:space="preserve">, respectively. Depreciation expense for property, plant and equipment for the </w:t>
      </w:r>
      <w:r>
        <w:rPr>
          <w:rFonts w:ascii="Times New Roman;serif" w:hAnsi="Times New Roman;serif"/>
          <w:b w:val="false"/>
          <w:color w:val="000000"/>
          <w:sz w:val="22"/>
        </w:rPr>
        <w:t>six months ended June 30, 2026 and May 25, 2025 was $4,825 and $3,990,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7.    Accrued expenses and other current liabilities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accrued expenses and other current liabilities:</w:t>
      </w:r>
    </w:p>
    <w:tbl>
      <w:tblPr>
        <w:tblW w:w="7405" w:type="dxa"/>
        <w:jc w:val="left"/>
        <w:tblInd w:w="0" w:type="dxa"/>
        <w:tblLayout w:type="fixed"/>
        <w:tblCellMar>
          <w:top w:w="28" w:type="dxa"/>
          <w:left w:w="28" w:type="dxa"/>
          <w:bottom w:w="28" w:type="dxa"/>
          <w:right w:w="28" w:type="dxa"/>
        </w:tblCellMar>
      </w:tblPr>
      <w:tblGrid>
        <w:gridCol w:w="1590"/>
        <w:gridCol w:w="1398"/>
        <w:gridCol w:w="1406"/>
        <w:gridCol w:w="226"/>
        <w:gridCol w:w="826"/>
        <w:gridCol w:w="109"/>
        <w:gridCol w:w="109"/>
        <w:gridCol w:w="109"/>
        <w:gridCol w:w="109"/>
        <w:gridCol w:w="245"/>
        <w:gridCol w:w="897"/>
        <w:gridCol w:w="118"/>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Accrued compensation</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4,548 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Contract liabilities, related party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professional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debt,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14,107 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17,362 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8.    Commitments and contingencies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the ordinary course of business, the Company is involved in various legal proceedings and claims.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 makes a provision for a liability relating to legal matters when it is both probable that a liability has been incurred and the amount of the loss can be reasonably estimated. These provisions are reviewed at least each quarter and adjusted to reflect the impacts of negotiations, estimated settlements, legal rulings, advice of legal counsel and other information and events pertaining to a particular matter. Legal fees are expensed in the period in which they are incurred.</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Investor dispute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December 23, 2024, 22NW Fund, L.P. (“22NW”), a holder of shares of the Company’s Common Stock and Series A Redeemable Convertible Preferred Stock (see note 10), filed a complaint against the Company, two former officers, and five former or current directors in the Commercial Division of the Supreme Court of the State of New York, New York County. The complaint seeks money damages (including compensatory damages, court costs, and attorneys’ fees) for (i) alleged material misrepresentations by the Company on which 22NW allegedly relied when purchasing shares of the Series A Redeemable Convertible Preferred Stock and Common Stock, (ii) alleged breaches of certain express representations in the stock purchase agreement through which 22NW acquired its shares, and (iii) registration delay fees owed under a registration rights agreement entered into in connection with the issuance of the Series A Redeemable Convertible Preferred Stock. The complaint also seeks the equitable remedy of specific performance under the aforementioned stock purchase agreement, requesting an order compelling the Company to file a proxy statement with the SEC and to hold a stockholder meeting to seek the approval of the removal of the current cap on the conversion of Series A Redeemable Convertible Preferred Stock into Common Stock as set forth in the Certificate of Designations related to the Redeemable Convertible Preferred Stock, which the Company has since satisfied. On February 24, 2025, the Company filed a motion to dismiss all claims against it except for the claims relating to the registration delay fees, which the Company subsequently paid to 22NW in full in November 2025. On that same day, the individual defendants also filed a separate motion to dismiss the complaint against them in its entirety. On April 22, 2026, the Court granted the Company’s motion to dismiss in part and the individual defendants’ motion to dismiss in its entirety. With respect to the Company, all but two claims were dismissed: the claim for alleged breaches of certain express representations in the Series A stock purchase agreement and the claim for failure to pay registration delay fees. At the prior oral argument on the motions, 22NW’s counsel agreed on the record that the registration delay fees claim was mooted by the Company’s prior payments. The Company intends to vigorously defend itself against these remaining claims. Any potential remaining loss arising from these claims is not currently probable or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Class action complaint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July 29, 2024, a putative class action complaint was filed on behalf of stockholders of the Company in the United States District Court of Minnesota against the Company and certain of its named executive officers. The complaint generally alleges that statements made to the Company’s stockholders between October 7, 2020, and March 19, 2024 regarding the Company’s financial results, internal controls, remediation efforts, periodic reporting, and financial prospects were false and misleading in violation of Section 10(b) of the Securities Exchange Act of 1934, as amended (the “Exchange Act”), and that the individual defendants are liable for such statements because they are controlling persons under Section 20(a) of the Exchange Act. The complaint seeks compensatory damages, court costs, and attorneys’ fees. On November 15, 2024, the Court appointed co-lead plaintiffs and their respective counsel. The co-lead plaintiffs filed an amended complaint on January 24, 2025, which contained substantially similar allegations and claims as those set forth in the original complaint. The Company filed a motion to dismiss the complaint on March 25, 2025, and the plaintiffs filed their opposition to the motion to dismiss on May 23, 2025. In November 2025, the Company and individual defendants entered into an agreement in principle with the plaintiffs to settle this matter, without any admission of wrongdoing, which was subject to court approval. On March 13, 2026, the Court granted preliminary approval of the proposed settlement, and the final approval hearing was held on July 28, 2026. If final approval of the proposed settlement is granted by the court in its current form, this settlement is expected to be covered by the Company’s insurance policies with no material loss incurred by the Company. The Company continues to believe that the claims are without merit and intends to vigorously defend against them if the settlement is not so approved.</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SEC subpoena</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February 16, 2024, the Chicago Regional Office of the SEC issued a subpoena to the Company seeking documents and information concerning the financial statement restatement. The Company cooperated with the SEC during its review of the matter. On March 9, 2026, the Company received notice from the SEC’s Division of Enforcement that it had concluded its investigation with no action taken against the Company.</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Yucatan litigation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December 1, 2018, the Company acquired all of the voting interests and substantially all of the assets of Yucatan Foods L.P. (“Yucatan”, collectively the “Yucatan Acquisition”), which owned a guacamole manufacturing plant in Mexico called Procesadora Tanok, S de RL de C.V. (“Tanok”).</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September 2, 2020, one of the former owners of Yucatan filed a lawsuit against the Company in Los Angeles County Superior Court for breach of employment agreement, breach of holdback agreement, declaratory relief and accounting. The Plaintiff sought over $10,000 in damages, including delivery of shares of his stock held in escrow for Company’s indemnification claims to recover the cost of a portion of the liabilities that were incurred by the Company in connection with certain compliance matters arising from facts and circumstances prior to the closing of the Yucatan Acquisition. On November 3, 2020, the Company filed an answer and cross-complaint against the Plaintiff and other former equity holders of Yucatan for fraud, indemnification, and other claims, and seeking no less than $80,000 in damages. The Company previously reached settlements with several of the cross-defendants, pursuant to which the settling cross-defendants agreed that certain of the shares of escrowed stock they received when the Company acquired Yucatan either be sold and the proceeds paid to the Company, or that those shares be released to the Company. The trial for the remaining defendants was severed into two trials by the Court: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first trial involved claims by and against one defendant only. This trial concluded on October 18, 2024, and final judgment was entered on March 21, 2025, with offsetting verdicts that resulted in a net award in the Company’s favor of $902 against the defendant and an award of recoverable costs of $275 for a total judgment of $1,177. The Company filed a notice of appeal on June 9, 2025 and the Plaintiff filed a notice of cross-appeal on July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second trial for the other defendants will involve only the Company’s claims against them, and there are no claims made by those defendants against the Company. That second trial has been stayed by the Court pending a final judgment, including any appeal, in the first trial.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Plaintiff filed a new complaint seeking over $15,000 in damages and delivery of shares of his stock held in escrow, and served it on the Company on June 30, 2025. The Plaintiff’s new lawsuit arises out of the same allegations as his earlier lawsuit, asserts the same claims, and seeks the same damages. The Company’s motion to dismiss the new complaint on the grounds it is duplicative of the first lawsuit was denied by the trial court, but the Company appealed the trial court’s decision on February 17, 2026.</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ultimate outcome of these matters or any other investigations, legal actions, or potential claims that may arise from these matters remains uncertain. The Company cannot reasonably predict the timing or outcomes, or estimate the amount of final judgments, or the effect, if any, they may have on its financial statements. Separately, future rulings from the Court will affect pending claims against the severed defendants for indemnification under provisions in the purchase agreement for the Yucatan Acquisition. Because recovery of amounts is still contingent upon the resolution of certain issues, no amounts have been recorded as recoverable costs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9.    Debt</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debt:</w:t>
      </w:r>
    </w:p>
    <w:tbl>
      <w:tblPr>
        <w:tblW w:w="10036" w:type="dxa"/>
        <w:jc w:val="left"/>
        <w:tblInd w:w="0" w:type="dxa"/>
        <w:tblLayout w:type="fixed"/>
        <w:tblCellMar>
          <w:top w:w="28" w:type="dxa"/>
          <w:left w:w="28" w:type="dxa"/>
          <w:bottom w:w="28" w:type="dxa"/>
          <w:right w:w="28" w:type="dxa"/>
        </w:tblCellMar>
      </w:tblPr>
      <w:tblGrid>
        <w:gridCol w:w="2490"/>
        <w:gridCol w:w="2190"/>
        <w:gridCol w:w="2204"/>
        <w:gridCol w:w="226"/>
        <w:gridCol w:w="946"/>
        <w:gridCol w:w="109"/>
        <w:gridCol w:w="109"/>
        <w:gridCol w:w="109"/>
        <w:gridCol w:w="109"/>
        <w:gridCol w:w="226"/>
        <w:gridCol w:w="946"/>
        <w:gridCol w:w="109"/>
        <w:gridCol w:w="109"/>
        <w:gridCol w:w="154"/>
      </w:tblGrid>
      <w:tr>
        <w:trPr/>
        <w:tc>
          <w:tcPr>
            <w:tcW w:w="24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principal:</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Term loan credit facility with related party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Leaseback liability with related party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Finance lease liability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principal</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203,922 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195,760 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Unamortized debt discount on term loan credit facility with related party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debt, net of discounts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Classification on consolidated balance sheet: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net of current portion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net of current portion, related party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debt, net of discounts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155,068 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142,236 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future minimum principal payments at June 30, 2026:</w:t>
      </w:r>
    </w:p>
    <w:tbl>
      <w:tblPr>
        <w:tblW w:w="3260" w:type="dxa"/>
        <w:jc w:val="left"/>
        <w:tblInd w:w="0" w:type="dxa"/>
        <w:tblLayout w:type="fixed"/>
        <w:tblCellMar>
          <w:top w:w="28" w:type="dxa"/>
          <w:left w:w="28" w:type="dxa"/>
          <w:bottom w:w="28" w:type="dxa"/>
          <w:right w:w="28" w:type="dxa"/>
        </w:tblCellMar>
      </w:tblPr>
      <w:tblGrid>
        <w:gridCol w:w="701"/>
        <w:gridCol w:w="614"/>
        <w:gridCol w:w="619"/>
        <w:gridCol w:w="226"/>
        <w:gridCol w:w="94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Remainder of 2026</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2028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2029</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2030</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Thereafter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principal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203,922 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classification of interest in the consolidated financial statements:</w:t>
      </w:r>
    </w:p>
    <w:tbl>
      <w:tblPr>
        <w:tblW w:w="9953" w:type="dxa"/>
        <w:jc w:val="left"/>
        <w:tblInd w:w="0" w:type="dxa"/>
        <w:tblLayout w:type="fixed"/>
        <w:tblCellMar>
          <w:top w:w="28" w:type="dxa"/>
          <w:left w:w="28" w:type="dxa"/>
          <w:bottom w:w="28" w:type="dxa"/>
          <w:right w:w="28" w:type="dxa"/>
        </w:tblCellMar>
      </w:tblPr>
      <w:tblGrid>
        <w:gridCol w:w="1556"/>
        <w:gridCol w:w="1369"/>
        <w:gridCol w:w="1380"/>
        <w:gridCol w:w="226"/>
        <w:gridCol w:w="706"/>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09"/>
        <w:gridCol w:w="109"/>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Expensed in statement of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Capitalized to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interest incurred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15,176 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 was in compliance with all financial covenants under the Term Loan Credit Facility and Revolving Credit Facility.</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Term Loan Credit Facility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May 22, 2023, the Company entered into a Credit and Guaranty Agreement (the “Term Loan Credit Facility”) with Alcon Research, LLC (“Alcon”). The Term Loan Credit Facility refinanced in full all obligations of the Company and its subsidiaries under its prior term loan credit facility. This facility has been amended from time to time, including for the purpose of (i) enhancing and clarifying certain reporting requirements; (ii) providing limited waivers of potential events of default and permitting the Company to retain cash proceeds from the recent sale of certain excess equipment (see note 6); and (iii) most recently, on November 6, 2025, making certain changes to reporting requirements to correspond to the Fiscal Year Change and providing the Company with flexibility regarding the investment of excess cash and alignment on making certain third party payments.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The Company initially made $142,270 of term loan borrowings under the facility. Interest was at a fixed rate of 10% per annum payable-in-kind until May 22, 2026, following which interest is now payable at a fixed rate of 3% per annum in cash with the remainder payable-in-kind. The Company may elect to pay any amount of interest in cash instead of in-kind. The obligations under the Term Loan Credit Facility mature on May 22, 2029.</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Term loan principal generally cannot be repaid prior to the maturity date except as follows: (i) the Company is permitted to make voluntary prepayments beginning May 22, 2028 at a rate of 110%; (ii) Alcon or the Company can require prepayment upon a change in control at a rate of 115%; (iii) Alcon can require prepayment upon uncured material default of its supply agreement with the Company at a rate of 120%; (iv) sales of certain collateral assets, with specific exception, require the Company to prepay the term loans in the amount of proceeds received.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Term Loan Credit Facility contains customary affirmative covenants including, but not limited to, financial reporting requirements and maintenance of existence requirements, and negative covenants, including, but not limited to, limitations on the incurrence of debt, liens, investments, restricted payments, restricted debt payments, and affiliate transactions. The Term Loan Credit Facility contains one financial covenant, a minimum liquidity covenant, requiring $4,000 of Consolidated Liquidity (as defined in the Term Loan Credit Facility) as of the end of each quarter. See also note 10, “Redeemable Convertible Preferred Stock — Redemption” for more information.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Company’s effective annual interest rate under the Term Loan Credit Facility was 20.9%.</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Borrowings are guaranteed and secured by substantially all of the Company’s consolidated assets. Pursuant to an intercreditor agreement between Alcon and BMO (as defined below), Alcon is generally entitled to a priority claim with respect to property, plant and equipment, intellectual property and all other collateral to which BMO does not have a priority claim, as described further below. The facility contains customary financial covenants and events of default under which the obligations thereunder could be accelerated and/or the interest rate increased in specified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Revolving Credit Facility</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On December 31, 2020, the Company entered into a revolving credit agreement with BMO Harris Bank, N.A. (“BMO,” collectively the “Revolving Credit Facility”). The Revolving Credit Facility has been amended from time to time, including for the purpose of (i) providing limited waivers from historical events of default; (ii) as a result of discontinued operations, reducing the maximum committed amount to its current level of $40,000; (iii) creating an additional $2,500 borrowing tranche, which was repaid in June 2025; (iv) extending the maturity date to November 26, 2027, reducing the applicable interest rates and making certain other changes to the financial and reporting covenants; and (v) most recently, on November 6, 2025, making certain changes to reporting requirements to correspond to the Fiscal Year Change and providing the Company with flexibility regarding the investment of excess cash and alignment on making certain third party payments.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The Company can borrow under the facility in an amount up to the lesser of (i) the maximum committed amount and (ii) a specified borrowing base calculated as of the end of each month. The monthly borrowing base is determined using specified percentages of qualifying accounts receivable and inventory that serve as collateral under the facility, net of reserves. As of June 30, 2026, the Company's borrowing base was $21,600, and the Company had no outstanding borrowings. These borrowings, when outstanding, bear interest based on an average daily SOFR rate plus a spread of 2.00% to 2.50% per annum based on average availability. The facility also bears a commitment fee on the unused portion of the maximum committed amount of 0.375% per annum.</w:t>
      </w:r>
    </w:p>
    <w:p>
      <w:pPr>
        <w:pStyle w:val="TextBody"/>
        <w:bidi w:val="0"/>
        <w:spacing w:lineRule="auto" w:line="288" w:before="0" w:after="200"/>
        <w:jc w:val="both"/>
        <w:rPr/>
      </w:pPr>
      <w:r>
        <w:rPr>
          <w:rFonts w:ascii="Times New Roman;serif" w:hAnsi="Times New Roman;serif"/>
          <w:b w:val="false"/>
          <w:color w:val="000000"/>
          <w:sz w:val="22"/>
        </w:rPr>
        <w:t xml:space="preserve">Average borrowings under the facility were not material for </w:t>
      </w:r>
      <w:r>
        <w:rPr>
          <w:rFonts w:ascii="Times New Roman;serif" w:hAnsi="Times New Roman;serif"/>
          <w:b w:val="false"/>
          <w:color w:val="000000"/>
          <w:sz w:val="22"/>
          <w:shd w:fill="FFFFFF" w:val="clear"/>
        </w:rPr>
        <w:t xml:space="preserve">the </w:t>
      </w:r>
      <w:r>
        <w:rPr>
          <w:rFonts w:ascii="Times New Roman;serif" w:hAnsi="Times New Roman;serif"/>
          <w:b w:val="false"/>
          <w:color w:val="000000"/>
          <w:sz w:val="22"/>
        </w:rPr>
        <w:t>three and six months ended June 30, 2026. For the three and six months ended May 25, 2025, average borrowings were approximately $2,500 and $3,500, respectively, and the weighted average interest rate on those borrowings was approximately 8.8% and 8.8%, respectively.</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The Revolving Credit Facility contains customary affirmative covenants including, but not limited to, financial reporting requirements and maintenance of existence requirements, and negative covenants, including, but not limited to, limitations on the incurrence of debt, liens, investments, restricted payments, restricted debt payments and affiliate transactions. The Revolving Credit Facility contains one financial covenant, a minimum Consolidated Fixed Charge Coverage Ratio of 1.00 to 1.00, which is generally tested only when an event of default has occurred and is continuing or when availability falls below $2,500. See also note 10, “Redeemable Convertible Preferred Stock — Redemption” for more information.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Borrowings are guaranteed and secured by substantially all of the Company’s consolidated assets. Pursuant to an intercreditor agreement between Alcon and BMO, BMO is generally entitled to a priority claim with respect to cash and cash equivalents, accounts receivable and inventory, subject to certain specific exclusions. The facility contains customary financial covenants and events of default under which the obligations thereunder could be accelerated and/or the interest rate increased in specified circumstances.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Leaseback liability with related party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May 22, 2023, the Company entered into an equipment sale and leaseback transaction with Alcon. The sale and leaseback did not meet the requirements for sale-leaseback accounting, which resulted in the creation of a $7,730 leaseback liability representing the Company's total payment obligation under the lease. The lease expires on the earlier of May 22, 2033 or the date on which the Company exercises its option to repurchase the leased equipment. The Company may exercise that option beginning on the earlier of May 22, 2030 or completion of an agreed expansion of the Company's HA production capacity, in which case the repurchase price equals the remaining unpaid balance of the liability. If the Company does not exercise the option, the equipment transfers to the Company automatically upon expiration for a nominal amount.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During the lease term, the Company is obligated to make quarterly principal payments to Alcon of $193 plus interest at a rate of 6% per annum on the unpaid principal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lease contains terms and provisions that are generally customary for a commercial lease of this nature, including obligations relating to the use, operation and maintenance of the equipment. During the term of the lease, Alcon is not permitted to sell or encumber the equipment. Alcon is only entitled to cancel the lease in the event of insolvency, liquidation or bankruptcy; its remedies for other breaches of the lease are limited to monetary damages.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10.    Equity</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Common stock</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 is authorized to issue up to 75,000,000 shares of common stock, $0.001 par value (“Common Stock”). The Company is generally not permitted to pay cash dividends to common stockholders due to prohibitions and restrictions arising from the Term Loan Credit Facility, the Revolving Credit Facility and the Redeemable Convertible Preferred Stock, as defined below.</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Redeemable Convertible Preferred Stock</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January 9, 2023, the Company issued 38,750 shares of Series A Convertible Preferred Stock, par value $0.001 per share, that is in certain cases redeemable for cash and/or convertible into shares of Common Stock at the election of the holders, each as discussed further below (the “Redeemable Convertible Preferred Stock”). The Redeemable Convertible Preferred Stock ranks senior to the Common Stock with respect to dividends, distributions and payments on liquidation, winding-up and dissolution. The Company received proceeds of $38,750 at issuance, net of issuance costs of $668. The deduction for issuance costs was being amortized through June 29, 2026 as a charge to additional paid-in capital.</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The Company is generally not permitted to pay cash to holders of the Series A Convertible Preferred Stock, including in connection with distributions or redemptions, pursuant to the prohibitions on restricted payments under the Term Loan Credit Facility and the Revolving Credit Facility, without the consent of the lenders.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 aggregate liquidation preference of the Redeemable Convertible Preferred Stock was equal to the Conversion Amount (defined below) of $50,187 and $48,356, respectively.</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Dividends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The holders of Redeemable Convertible Preferred Stock are entitled to dividends at a rate of 7.5% per annum, or $75 per share, payable in-kind and compounding quarterly. The holders are also entitled to participate in dividends declared or paid on the Common Stock on an as-converted basis. At June 30, 2026, there were $924 of dividends in arrears that had not yet been paid-in-kind in the form of additional shares of Redeemable Convertible Preferred Stock, representing $18.75 per preferred share.</w:t>
      </w:r>
    </w:p>
    <w:p>
      <w:pPr>
        <w:pStyle w:val="TextBody"/>
        <w:bidi w:val="0"/>
        <w:spacing w:lineRule="auto" w:line="288" w:before="200" w:after="200"/>
        <w:jc w:val="both"/>
        <w:rPr>
          <w:rFonts w:ascii="Times New Roman;serif" w:hAnsi="Times New Roman;serif"/>
          <w:b w:val="false"/>
          <w:i/>
          <w:color w:val="000000"/>
          <w:sz w:val="22"/>
        </w:rPr>
      </w:pPr>
      <w:r>
        <w:rPr>
          <w:rFonts w:ascii="Times New Roman;serif" w:hAnsi="Times New Roman;serif"/>
          <w:b w:val="false"/>
          <w:i/>
          <w:color w:val="000000"/>
          <w:sz w:val="22"/>
        </w:rPr>
        <w:t>Conversion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Each holder has the right, any time at its option, to convert its Redeemable Convertible Preferred Stock, in whole or in part, into an amount of fully paid and non-assessable shares of Common Stock equal to $1,000 per share of Redeemable Convertible Preferred Stock, plus accrued and unpaid dividends in arrears (the “Conversion Amount”), divided by the conversion price. The initial conversion price of $7.00 per share was subsequently reduced to approximately $6.53 per share following the issuance of Common Stock for less than its conversion price in 2024. The Redeemable Convertible Preferred Stock continues to be subject to customary anti-dilution adjustments, including in the event of any future stock split, stock dividend, recapitalization or similar events, and in the event of any subsequent offerings of Common Stock or convertible securities by the Company for less than the conversion price. As of June 30, 2026, the Redeemable Convertible Preferred Stock was convertible into 7,681,847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 may also elect to convert the Redeemable Convertible Preferred Stock if, for at least 20 consecutive trading days during the respective measuring period, the Company's closing stock price equals or exceeds $10.50 per share and certain other conditions are satisfied.</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Redemption</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Holders had the right to request that the Company redeem all or part of their Redeemable Convertible Preferred Stock beginning on June 29, 2026. As of June 30, 2026, the Company had received notices of redemption for all 49,263 shares of Redeemable Convertible Preferred Stock. Pursuant to the terms of the Redeemable Convertible Preferred Stock, the redemption date and payment of the redemption price for all shares of the Redeemable Convertible Preferred Stock would occur on December 28, 2026. To make such cash redemption payments the Company would be required to obtain a consent to such cash redemption payments or waiver of the restriction on cash dividends and/or redemptions set forth in each of the Company’s credit agreements. To the extent consents or waivers are not obtained under each of the Company’s credit agreements, the Company would be in breach thereof if such payments in cash were made. On such date the Company would be required to pay in cash an amount equal to $1,000 per share of Redeemable Convertible Preferred Stock to be redeemed plus accrued and unpaid dividends on such shares through the date of redemption. To the extent that the Company does not or cannot redeem all of the Redeemable Convertible Preferred Shares submitted for redemption, the Company would be subject to interest on the unpaid balance at a rate of 1% per month from the redemption date until paid in full, in addition to its continuing obligation to accrue dividends paid in kind at 7.5% per annum.</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Holders retain their right to convert the Redeemable Convertible Preferred Stock even while the Company is under notice of redemption, so the instrument does not meet the definition of mandatorily redeemable under GAAP. As a result, the Company continues to present the Redeemable Convertible Preferred Stock as temporary equity on the consolidated balance sheets.</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Voting</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Each holder is entitled to vote with the holders of the shares of Common Stock on all matters submitted for a vote of holders of shares of Common Stock, with certain limited exceptions. Each holder is entitled to the whole number of votes equal to the number of shares of Common Stock into which such holder’s shares of Redeemable Convertible Preferred Stock would be convertible on the record date for the vote. The holders of the Redeemable Convertible Preferred Stock are also entitled to elect two directors to serve on the Company's board of directors so long as at least 30% of the initial shares of Redeemable Convertible Preferred Stock remain outstanding.</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Registration rights</w:t>
      </w:r>
    </w:p>
    <w:p>
      <w:pPr>
        <w:pStyle w:val="TextBody"/>
        <w:bidi w:val="0"/>
        <w:spacing w:lineRule="auto" w:line="288" w:before="0" w:after="200"/>
        <w:jc w:val="both"/>
        <w:rPr/>
      </w:pPr>
      <w:r>
        <w:rPr>
          <w:rFonts w:ascii="Times New Roman;serif" w:hAnsi="Times New Roman;serif"/>
          <w:b w:val="false"/>
          <w:color w:val="000000"/>
          <w:sz w:val="22"/>
        </w:rPr>
        <w:t>The holders of the Redeemable Convertible Preferred Stock also entered into a registration rights agreement with the Company. This agreement required the Company to file an initial registration statement covering sufficient shares of Common Stock into which the Redeemable Convertible Preferred Stock may be converted, which the Company filed in 2023. The agreement contains monetary penalties if the Company fails to maintain the effectiveness of that registration statement. The agreement has no specified termination date and no specified maximum amount of penalties. The Company has paid a total of</w:t>
      </w:r>
      <w:r>
        <w:rPr>
          <w:color w:val="000000"/>
          <w:shd w:fill="FFFFFF" w:val="clear"/>
        </w:rPr>
        <w:t xml:space="preserve"> </w:t>
      </w:r>
      <w:r>
        <w:rPr>
          <w:rFonts w:ascii="Times New Roman;serif" w:hAnsi="Times New Roman;serif"/>
          <w:b w:val="false"/>
          <w:color w:val="000000"/>
          <w:sz w:val="22"/>
          <w:shd w:fill="FFFFFF" w:val="clear"/>
        </w:rPr>
        <w:t xml:space="preserve">$5,238 pursuant to </w:t>
      </w:r>
      <w:r>
        <w:rPr>
          <w:rFonts w:ascii="Times New Roman;serif" w:hAnsi="Times New Roman;serif"/>
          <w:b w:val="false"/>
          <w:color w:val="000000"/>
          <w:sz w:val="22"/>
        </w:rPr>
        <w:t>the registration rights agreement, including $4,703 in November 2025 due to a lapse in the effectiveness of the initial registration statement following the Company’s failure to timely file periodic reports with the SEC in 2023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11.    Revenue recognition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tables present disaggregated revenues:</w:t>
      </w:r>
    </w:p>
    <w:tbl>
      <w:tblPr>
        <w:tblW w:w="9653" w:type="dxa"/>
        <w:jc w:val="left"/>
        <w:tblInd w:w="0" w:type="dxa"/>
        <w:tblLayout w:type="fixed"/>
        <w:tblCellMar>
          <w:top w:w="28" w:type="dxa"/>
          <w:left w:w="28" w:type="dxa"/>
          <w:bottom w:w="28" w:type="dxa"/>
          <w:right w:w="28" w:type="dxa"/>
        </w:tblCellMar>
      </w:tblPr>
      <w:tblGrid>
        <w:gridCol w:w="1360"/>
        <w:gridCol w:w="1195"/>
        <w:gridCol w:w="1210"/>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CDMO</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HA manufacturing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 recognized over time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 recognized at a point in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71,598 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22"/>
        </w:rPr>
        <w:t xml:space="preserve">During </w:t>
      </w:r>
      <w:r>
        <w:rPr>
          <w:rFonts w:ascii="Times New Roman;serif" w:hAnsi="Times New Roman;serif"/>
          <w:b w:val="false"/>
          <w:color w:val="000000"/>
          <w:sz w:val="22"/>
          <w:shd w:fill="FFFFFF" w:val="clear"/>
        </w:rPr>
        <w:t xml:space="preserve">the </w:t>
      </w:r>
      <w:r>
        <w:rPr>
          <w:rFonts w:ascii="Times New Roman;serif" w:hAnsi="Times New Roman;serif"/>
          <w:b w:val="false"/>
          <w:color w:val="000000"/>
          <w:sz w:val="22"/>
        </w:rPr>
        <w:t>three months ended June 30, 2026, the Company had revenue concentrations of 10% or greater from two customers, with those customers comprising 66% and 10% of revenue. During the three months ended May 25, 2025, the Company had revenue concentrations of 10% or greater from two customers, with those customers comprising 46% and 16% of revenue.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the Company had revenues concentrations of 10% or greater from two customers, accounting for 55% and 15%. During the six months ended May 25, 2025, the Company had revenues concentrations of 10% or greater from two customers, accounting for 50% and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changes in contract assets and liabilities:</w:t>
      </w:r>
    </w:p>
    <w:tbl>
      <w:tblPr>
        <w:tblW w:w="10205" w:type="dxa"/>
        <w:jc w:val="left"/>
        <w:tblInd w:w="0" w:type="dxa"/>
        <w:tblLayout w:type="fixed"/>
        <w:tblCellMar>
          <w:top w:w="28" w:type="dxa"/>
          <w:left w:w="28" w:type="dxa"/>
          <w:bottom w:w="28" w:type="dxa"/>
          <w:right w:w="28" w:type="dxa"/>
        </w:tblCellMar>
      </w:tblPr>
      <w:tblGrid>
        <w:gridCol w:w="2599"/>
        <w:gridCol w:w="2286"/>
        <w:gridCol w:w="2301"/>
        <w:gridCol w:w="250"/>
        <w:gridCol w:w="783"/>
        <w:gridCol w:w="120"/>
        <w:gridCol w:w="109"/>
        <w:gridCol w:w="109"/>
        <w:gridCol w:w="109"/>
        <w:gridCol w:w="263"/>
        <w:gridCol w:w="880"/>
        <w:gridCol w:w="127"/>
        <w:gridCol w:w="109"/>
        <w:gridCol w:w="160"/>
      </w:tblGrid>
      <w:tr>
        <w:trPr/>
        <w:tc>
          <w:tcPr>
            <w:tcW w:w="259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December 31, 2025</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7,655 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(8,660)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Changes to the beginning balance arising from:</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Amounts billed as accounts receivable as the result of rights to consideration becoming unconditional</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Recognition of revenue as the result of performance obligations satisfied</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Estimated credit loss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Net change to contract balances recognized after the comparative balance sheet date due to amounts billed, recognition of revenue, changes in estimate, and interest from significant financing component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June 30, 2026</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7,568 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(5,279)</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12.    Stock-based compensation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 provides stock-based compensation to its employees under two plans: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2019 Stock Incentive Plan is a seven-year plan that became effective upon stockholder approval at the Company’s 2019 annual meeting held on October 16, 2019 and has been subsequently amended with stockholder approval, most recently at the Annual Meeting held on August 15, 2024. This plan provides for the grant of stock options, stock grants, stock units and stock appreciation rights to employees, consultants and directors. Under the plan, no recipient may receive awards during any fiscal year that exceed 500,000 stock options, 250,000 stock grants or stock units, or 500,000 stock appreciation rights, nor may any non-employee director be granted awards in excess of $350. As of June 30, 2026, the Company had 1,308,040 common shares reserved for new awards under the 2019 Stock Incentive Plan. The plan expires October 16, 2026. A replacement plan, the 2026 Stock Incentive Plan, was approved by stockholders at the 2026 annual meeting held on June 4, 2026. The 2026 Stock Incentive Plan will become effective by its terms on October 16, 2026.</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Equity Inducement Plan became effective on March 20, 2024. This plan provides for the grant of equity awards to individuals that were not previously employees or directors of the Company as an inducement material to the individual’s entry into employment with the Company. As of June 30, 2026, the Company had 140,474 common shares reserved for new awards under the Equity Inducement Plan.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about stock options:</w:t>
      </w:r>
    </w:p>
    <w:tbl>
      <w:tblPr>
        <w:tblW w:w="9566" w:type="dxa"/>
        <w:jc w:val="left"/>
        <w:tblInd w:w="0" w:type="dxa"/>
        <w:tblLayout w:type="fixed"/>
        <w:tblCellMar>
          <w:top w:w="28" w:type="dxa"/>
          <w:left w:w="28" w:type="dxa"/>
          <w:bottom w:w="28" w:type="dxa"/>
          <w:right w:w="28" w:type="dxa"/>
        </w:tblCellMar>
      </w:tblPr>
      <w:tblGrid>
        <w:gridCol w:w="2453"/>
        <w:gridCol w:w="2156"/>
        <w:gridCol w:w="2171"/>
        <w:gridCol w:w="226"/>
        <w:gridCol w:w="586"/>
        <w:gridCol w:w="286"/>
        <w:gridCol w:w="109"/>
        <w:gridCol w:w="109"/>
        <w:gridCol w:w="109"/>
        <w:gridCol w:w="226"/>
        <w:gridCol w:w="586"/>
        <w:gridCol w:w="286"/>
        <w:gridCol w:w="109"/>
        <w:gridCol w:w="154"/>
      </w:tblGrid>
      <w:tr>
        <w:trPr/>
        <w:tc>
          <w:tcPr>
            <w:tcW w:w="2453"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Information about stock options granted:</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grant date fair value per share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assumptions used to determine grant-date fair value: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life</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Risk-free interest rate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Volatility</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Dividend yield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There were no stock option exercises during either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about other stock-based awards:</w:t>
      </w:r>
    </w:p>
    <w:tbl>
      <w:tblPr>
        <w:tblW w:w="10199" w:type="dxa"/>
        <w:jc w:val="left"/>
        <w:tblInd w:w="0" w:type="dxa"/>
        <w:tblLayout w:type="fixed"/>
        <w:tblCellMar>
          <w:top w:w="28" w:type="dxa"/>
          <w:left w:w="28" w:type="dxa"/>
          <w:bottom w:w="28" w:type="dxa"/>
          <w:right w:w="28" w:type="dxa"/>
        </w:tblCellMar>
      </w:tblPr>
      <w:tblGrid>
        <w:gridCol w:w="2749"/>
        <w:gridCol w:w="2417"/>
        <w:gridCol w:w="2424"/>
        <w:gridCol w:w="226"/>
        <w:gridCol w:w="586"/>
        <w:gridCol w:w="109"/>
        <w:gridCol w:w="109"/>
        <w:gridCol w:w="109"/>
        <w:gridCol w:w="109"/>
        <w:gridCol w:w="226"/>
        <w:gridCol w:w="586"/>
        <w:gridCol w:w="286"/>
        <w:gridCol w:w="109"/>
        <w:gridCol w:w="154"/>
      </w:tblGrid>
      <w:tr>
        <w:trPr/>
        <w:tc>
          <w:tcPr>
            <w:tcW w:w="274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Information about awards granted:</w:t>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fair value per share as of transaction date:</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RSUs granted</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PSUs granted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assumptions used to determine grant-date fair value of PSUs: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life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Risk-free interest rate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Volatility</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Dividend yield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Fair value of RSUs vested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about stock option balances and activity:</w:t>
      </w:r>
    </w:p>
    <w:tbl>
      <w:tblPr>
        <w:tblW w:w="10205" w:type="dxa"/>
        <w:jc w:val="left"/>
        <w:tblInd w:w="0" w:type="dxa"/>
        <w:tblLayout w:type="fixed"/>
        <w:tblCellMar>
          <w:top w:w="28" w:type="dxa"/>
          <w:left w:w="28" w:type="dxa"/>
          <w:bottom w:w="28" w:type="dxa"/>
          <w:right w:w="28" w:type="dxa"/>
        </w:tblCellMar>
      </w:tblPr>
      <w:tblGrid>
        <w:gridCol w:w="678"/>
        <w:gridCol w:w="595"/>
        <w:gridCol w:w="598"/>
        <w:gridCol w:w="563"/>
        <w:gridCol w:w="563"/>
        <w:gridCol w:w="226"/>
        <w:gridCol w:w="109"/>
        <w:gridCol w:w="109"/>
        <w:gridCol w:w="109"/>
        <w:gridCol w:w="551"/>
        <w:gridCol w:w="1433"/>
        <w:gridCol w:w="267"/>
        <w:gridCol w:w="109"/>
        <w:gridCol w:w="109"/>
        <w:gridCol w:w="109"/>
        <w:gridCol w:w="783"/>
        <w:gridCol w:w="783"/>
        <w:gridCol w:w="784"/>
        <w:gridCol w:w="109"/>
        <w:gridCol w:w="109"/>
        <w:gridCol w:w="109"/>
        <w:gridCol w:w="400"/>
        <w:gridCol w:w="720"/>
        <w:gridCol w:w="280"/>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Outstanding at December 31, 2025</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1,377,054 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7.83 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8,775 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Forfeited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(69,843)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Expired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Outstanding at June 30, 2026</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1,293,036 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7.85 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18 </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Exercisable at June 30,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658,060 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about recent RSU and PSU activity:</w:t>
      </w:r>
    </w:p>
    <w:tbl>
      <w:tblPr>
        <w:tblW w:w="10205" w:type="dxa"/>
        <w:jc w:val="left"/>
        <w:tblInd w:w="0" w:type="dxa"/>
        <w:tblLayout w:type="fixed"/>
        <w:tblCellMar>
          <w:top w:w="28" w:type="dxa"/>
          <w:left w:w="28" w:type="dxa"/>
          <w:bottom w:w="28" w:type="dxa"/>
          <w:right w:w="28" w:type="dxa"/>
        </w:tblCellMar>
      </w:tblPr>
      <w:tblGrid>
        <w:gridCol w:w="654"/>
        <w:gridCol w:w="574"/>
        <w:gridCol w:w="577"/>
        <w:gridCol w:w="563"/>
        <w:gridCol w:w="563"/>
        <w:gridCol w:w="226"/>
        <w:gridCol w:w="109"/>
        <w:gridCol w:w="109"/>
        <w:gridCol w:w="109"/>
        <w:gridCol w:w="571"/>
        <w:gridCol w:w="1485"/>
        <w:gridCol w:w="277"/>
        <w:gridCol w:w="109"/>
        <w:gridCol w:w="109"/>
        <w:gridCol w:w="109"/>
        <w:gridCol w:w="563"/>
        <w:gridCol w:w="563"/>
        <w:gridCol w:w="226"/>
        <w:gridCol w:w="109"/>
        <w:gridCol w:w="109"/>
        <w:gridCol w:w="109"/>
        <w:gridCol w:w="556"/>
        <w:gridCol w:w="1441"/>
        <w:gridCol w:w="385"/>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PSUs</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Outstanding at December 31, 2025</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1,440,419 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6.46 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2,283,000 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4.25 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676,911 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Vested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(346,916)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(75,038)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7.78 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Outstanding at June 30, 2026</w:t>
            </w:r>
          </w:p>
        </w:tc>
        <w:tc>
          <w:tcPr>
            <w:tcW w:w="11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1,695,376 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6.32 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2,283,000 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4.25 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Stock-based compensation expense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stock-based compensation by income statement line item:</w:t>
      </w:r>
    </w:p>
    <w:tbl>
      <w:tblPr>
        <w:tblW w:w="9592" w:type="dxa"/>
        <w:jc w:val="left"/>
        <w:tblInd w:w="0" w:type="dxa"/>
        <w:tblLayout w:type="fixed"/>
        <w:tblCellMar>
          <w:top w:w="28" w:type="dxa"/>
          <w:left w:w="28" w:type="dxa"/>
          <w:bottom w:w="28" w:type="dxa"/>
          <w:right w:w="28" w:type="dxa"/>
        </w:tblCellMar>
      </w:tblPr>
      <w:tblGrid>
        <w:gridCol w:w="1516"/>
        <w:gridCol w:w="1331"/>
        <w:gridCol w:w="1337"/>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 expense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Most of the stock-based compensation expense for the current period and going forward arises from RSU awards to the Company’s named executive officers under the Equity Inducement Plan and the Company’s directors. The RSU awards to named executive officers vest annually and are expensed ratably over their five-year lives (three-year in one case) since date of hire. The annual RSU awards granted to directors vest in full one year from the grant date and are expensed ratably over the same one-year vesting period.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 has also issued PSU awards to its named executive officers, for which most of the expense has already been recognized through December 31, 2025. These awards are divided into ten equal tranches that will vest, if at all, based upon closing stock price milestones over a five-year performance period, and to the extent a PSU award tranche vests based on stock price performance, 50% of the shares for each tranche will be issued immediately, and 50% of the shares will be issued on the one-year anniversary of the performance vesting date.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of June 30, 2026, there was $11,444 of total unrecognized compensation expense related to unvested equity compensation awards granted under the Lifecore incentive stock plans. This total expense is expected to be recognized over a weighted-average period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13.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effective tax rate was approximately (1)% for the three months ended June 30, 2026, compared to approximately (3)% for the three months ended May 25, 2025. For both the six months ended June 30, 2026 and May 25, 2025, the effective tax rate was approximately (1)%. The effective tax rates were lower than the U.S. federal statutory tax rate in all periods primarily due to the Company’s valuation allowance on its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14.    Fair value of financial instruments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Term Loan Credit Facility and debt derivative liability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Term Loan Credit Facility contains various features that meet the definition of an embedded derivative and require bifurcation. These features, which were necessary for the Company to accept in order for Alcon to agree to provide the term loan financing, comprise various options for early prepayment of the term loans at stated premiums above par if certain future events were to occur, as described more fully in note 9. These embedded derivatives were initially recorded at fair value as a noncurrent liability (“debt derivative liability”) offset by a discount to the carrying value of the Term Loan Credit Facility that is being amortized to interest expense over the term of that facility. The debt derivative liability is being subsequently remeasured at fair value every reporting period with changes in fair value reported as a non-operating item on the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disclosed fair value of the term loan and the recorded fair value of the debt derivative liability are estimated using a discounted cash flow method (a level 3 measurement) that includes annually weighted probabilities that the lender exercises its option to require payment of the term loans upon a qualifying change in control or that the debt is held to maturity and refinanced. As of June 30, 2026, the fair value of the term loan, excluding the value of the embedded debt derivative liability, was $150,365 with a carrying value of $143,871; the fair value of the debt derivative liability was $30,922, which was the same as its carrying value. As of December 31, 2025, the fair value of the term loan, excluding the value of the embedded debt derivative liability, was $149,400 with a carrying value of $130,563; the fair value of the debt derivative liability was $26,564, which was the same as its carrying value.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debt derivative liability is currently the only financial instrument recorded at fair value on a recurring basis in the accompanying balance sheets. The following table presents information about those measurements:</w:t>
      </w:r>
    </w:p>
    <w:tbl>
      <w:tblPr>
        <w:tblW w:w="10205" w:type="dxa"/>
        <w:jc w:val="left"/>
        <w:tblInd w:w="0" w:type="dxa"/>
        <w:tblLayout w:type="fixed"/>
        <w:tblCellMar>
          <w:top w:w="28" w:type="dxa"/>
          <w:left w:w="28" w:type="dxa"/>
          <w:bottom w:w="28" w:type="dxa"/>
          <w:right w:w="28" w:type="dxa"/>
        </w:tblCellMar>
      </w:tblPr>
      <w:tblGrid>
        <w:gridCol w:w="832"/>
        <w:gridCol w:w="732"/>
        <w:gridCol w:w="736"/>
        <w:gridCol w:w="639"/>
        <w:gridCol w:w="639"/>
        <w:gridCol w:w="641"/>
        <w:gridCol w:w="109"/>
        <w:gridCol w:w="109"/>
        <w:gridCol w:w="109"/>
        <w:gridCol w:w="649"/>
        <w:gridCol w:w="649"/>
        <w:gridCol w:w="651"/>
        <w:gridCol w:w="109"/>
        <w:gridCol w:w="109"/>
        <w:gridCol w:w="109"/>
        <w:gridCol w:w="243"/>
        <w:gridCol w:w="243"/>
        <w:gridCol w:w="245"/>
        <w:gridCol w:w="127"/>
        <w:gridCol w:w="127"/>
        <w:gridCol w:w="127"/>
        <w:gridCol w:w="243"/>
        <w:gridCol w:w="243"/>
        <w:gridCol w:w="245"/>
        <w:gridCol w:w="127"/>
        <w:gridCol w:w="127"/>
        <w:gridCol w:w="127"/>
        <w:gridCol w:w="413"/>
        <w:gridCol w:w="413"/>
        <w:gridCol w:w="333"/>
      </w:tblGrid>
      <w:tr>
        <w:trPr/>
        <w:tc>
          <w:tcPr>
            <w:tcW w:w="8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measurement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measurement</w:t>
            </w:r>
          </w:p>
        </w:tc>
      </w:tr>
      <w:tr>
        <w:trPr/>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Liabilities</w:t>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derivative liability</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30,922 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Debt derivative liability</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26,564 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rollforward reconciliation of this level 3 recurring fair value measurement:</w:t>
      </w:r>
    </w:p>
    <w:tbl>
      <w:tblPr>
        <w:tblW w:w="9892" w:type="dxa"/>
        <w:jc w:val="left"/>
        <w:tblInd w:w="0" w:type="dxa"/>
        <w:tblLayout w:type="fixed"/>
        <w:tblCellMar>
          <w:top w:w="28" w:type="dxa"/>
          <w:left w:w="28" w:type="dxa"/>
          <w:bottom w:w="28" w:type="dxa"/>
          <w:right w:w="28" w:type="dxa"/>
        </w:tblCellMar>
      </w:tblPr>
      <w:tblGrid>
        <w:gridCol w:w="1450"/>
        <w:gridCol w:w="1274"/>
        <w:gridCol w:w="1280"/>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beginning of period</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fair value recorded in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at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30,922 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24,991 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30,922 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24,991 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key inputs to the valuation model are (i) the probability and timing of a change in control event occurring over the remaining term of the debt; and (ii) the discount rate, which can be influenced by changes in the risk-free rate, the Company's credit rating and/or changes in the overall credit market. Factors that can affect the estimate of fair value at each reporting date, and therefore the amount of gain or loss recorded for a particular period, include imprecision in estimating unobservable market inputs and the selection of particular methodologies and assumptions used to determine the fair value.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Key inputs used to develop the fair value measurement were as follows:</w:t>
      </w:r>
    </w:p>
    <w:tbl>
      <w:tblPr>
        <w:tblW w:w="6601" w:type="dxa"/>
        <w:jc w:val="left"/>
        <w:tblInd w:w="0" w:type="dxa"/>
        <w:tblLayout w:type="fixed"/>
        <w:tblCellMar>
          <w:top w:w="28" w:type="dxa"/>
          <w:left w:w="28" w:type="dxa"/>
          <w:bottom w:w="28" w:type="dxa"/>
          <w:right w:w="28" w:type="dxa"/>
        </w:tblCellMar>
      </w:tblPr>
      <w:tblGrid>
        <w:gridCol w:w="1325"/>
        <w:gridCol w:w="1164"/>
        <w:gridCol w:w="1171"/>
        <w:gridCol w:w="293"/>
        <w:gridCol w:w="293"/>
        <w:gridCol w:w="462"/>
        <w:gridCol w:w="109"/>
        <w:gridCol w:w="109"/>
        <w:gridCol w:w="109"/>
        <w:gridCol w:w="293"/>
        <w:gridCol w:w="293"/>
        <w:gridCol w:w="717"/>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Probability of change in control event</w:t>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80.0 </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80.0 </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discount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20.7 </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17.6 </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weighted average discount rate was calculated based on the individual discount rate used for each future payment and weighted by both the present value of the future payments and the probability of each scenario.</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Cash and Revolving Credit Facility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Cash and outstanding borrowings under the Company's Revolving Credit Facility, if any, are carried at cost, which approximates fair value due to their short duration and variable rates of interest (a level 2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Leaseback liability with related party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discussed further in note 9, the Company maintains a financial liability for an equipment sale and leaseback with Alcon for which control of the asset was deemed not to have transferred.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accordance with U.S. GAAP, the Company presents supplemental fair value information based on market conditions of the underlying financial instrument. The fair value information does not change the stated rate or carrying value of the instrument. The fair value of the leaseback liability was estimated using a discounted cash flow method (a level 3 measurement) that assumes a weighted-average discount rate of 5.5% and 5.1% as of June 30, 2026 and December 31, 2025, respectively. As of June 30, 2026 and December 31, 2025, the fair value of the leaseback liability approximated its carrying value of $5,410 and $5,798, respectively.</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Customer deposit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 significant customer of the Company agreed to provide an upfront cash deposit in order to finance working capital requirements for the duration of its commercial supply agreement with the Company. The deposit bears no interest and is to be repaid after a wind-up period following expiration or termination of the commercial supply agreement. Prior to the most recent amendment, the commercial supply agreement had automatically extended to December 31, 2027. In June 2026, it was amended and extended to December 31, 2030.</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accordance with U.S. GAAP, the Company presents supplemental fair value information based on market conditions of the underlying financial instrument. The fair value information does not change the stated rate or carrying value of the instrument. The fair value of the deposit is estimated using a discounted cash flow method (a level 3 measurement) that includes assumed discount rates of 6.7% and 6.0% as of June 30, 2026 and December 31, 2025, respectively. The fair value assumed repayment in 4.5 years and 2.0 years as of June 30, 2026 and December 31, 2025, respectively, which was the remaining contractual term of the agreement as of each measurement date. As of June 30, 2026 and December 31, 2025, the fair value of the deposit approximated its carrying value of $4,751 and $4,515,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15.    Leases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Substantially all current lease activity comes from two active facilities near the Company’s owned headquarters facility in Chaska, Minnesota.</w:t>
      </w:r>
    </w:p>
    <w:p>
      <w:pPr>
        <w:pStyle w:val="TextBody"/>
        <w:bidi w:val="0"/>
        <w:spacing w:lineRule="auto" w:line="288" w:before="0" w:after="200"/>
        <w:jc w:val="both"/>
        <w:rPr/>
      </w:pPr>
      <w:r>
        <w:rPr>
          <w:rFonts w:ascii="Times New Roman;serif" w:hAnsi="Times New Roman;serif"/>
          <w:b w:val="false"/>
          <w:color w:val="000000"/>
          <w:sz w:val="22"/>
        </w:rPr>
        <w:t xml:space="preserve">In January 2016, a lease commenced for the Company’s warehouse and final packaging building in Chaska, Minnesota. The lease has since been amended twice to accomplish the following: (i) to extend the term of the lease to </w:t>
      </w:r>
      <w:r>
        <w:rPr>
          <w:rFonts w:ascii="Times New Roman;serif" w:hAnsi="Times New Roman;serif"/>
          <w:b w:val="false"/>
          <w:color w:val="000000"/>
          <w:sz w:val="22"/>
          <w:shd w:fill="FFFFFF" w:val="clear"/>
        </w:rPr>
        <w:t>September 2034,</w:t>
      </w:r>
      <w:r>
        <w:rPr>
          <w:color w:val="000000"/>
        </w:rPr>
        <w:t xml:space="preserve"> </w:t>
      </w:r>
      <w:r>
        <w:rPr>
          <w:rFonts w:ascii="Times New Roman;serif" w:hAnsi="Times New Roman;serif"/>
          <w:b w:val="false"/>
          <w:color w:val="000000"/>
          <w:sz w:val="22"/>
        </w:rPr>
        <w:t>(ii) to add a purchase option equal to the balance of the lessor’s mortgage loan, valued at $3,100 as of June 30, 2026; and (iii) to provide a $2,400 cash payment to the Company in October 2024 in exchange for an increased rent payment schedule and the updated purchase option. The lease is classified as a finance lease and has a discount rate of 9%, which was the Company’s incremental borrowing rate at the time of the most recent amendment to the lease in August 2024.</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January 2021, a lease commenced for the Company’s warehouse and office space in Chanhassen, Minnesota. The lease expires in March 2028 with an option to extend through March 2033 that the Company is reasonably certain to exercise. The lease is classified as an operating lease and has a discount rate of 3%, which was the Company’s incremental borrowing rate at lease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components of lease cost were as follows:</w:t>
      </w:r>
    </w:p>
    <w:tbl>
      <w:tblPr>
        <w:tblW w:w="5162" w:type="dxa"/>
        <w:jc w:val="left"/>
        <w:tblInd w:w="0" w:type="dxa"/>
        <w:tblLayout w:type="fixed"/>
        <w:tblCellMar>
          <w:top w:w="28" w:type="dxa"/>
          <w:left w:w="28" w:type="dxa"/>
          <w:bottom w:w="28" w:type="dxa"/>
          <w:right w:w="28" w:type="dxa"/>
        </w:tblCellMar>
      </w:tblPr>
      <w:tblGrid>
        <w:gridCol w:w="1032"/>
        <w:gridCol w:w="906"/>
        <w:gridCol w:w="912"/>
        <w:gridCol w:w="226"/>
        <w:gridCol w:w="526"/>
        <w:gridCol w:w="109"/>
        <w:gridCol w:w="109"/>
        <w:gridCol w:w="109"/>
        <w:gridCol w:w="109"/>
        <w:gridCol w:w="226"/>
        <w:gridCol w:w="526"/>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Finance lease cost: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leased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on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lease cost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Company’s maturity analysis of operating and finance lease liabilities as of June 30, 2026 are as follows:</w:t>
      </w:r>
    </w:p>
    <w:tbl>
      <w:tblPr>
        <w:tblW w:w="8003" w:type="dxa"/>
        <w:jc w:val="left"/>
        <w:tblInd w:w="0" w:type="dxa"/>
        <w:tblLayout w:type="fixed"/>
        <w:tblCellMar>
          <w:top w:w="28" w:type="dxa"/>
          <w:left w:w="28" w:type="dxa"/>
          <w:bottom w:w="28" w:type="dxa"/>
          <w:right w:w="28" w:type="dxa"/>
        </w:tblCellMar>
      </w:tblPr>
      <w:tblGrid>
        <w:gridCol w:w="2009"/>
        <w:gridCol w:w="1765"/>
        <w:gridCol w:w="1775"/>
        <w:gridCol w:w="226"/>
        <w:gridCol w:w="706"/>
        <w:gridCol w:w="109"/>
        <w:gridCol w:w="109"/>
        <w:gridCol w:w="109"/>
        <w:gridCol w:w="109"/>
        <w:gridCol w:w="226"/>
        <w:gridCol w:w="706"/>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Finance</w:t>
              <w:br/>
              <w:t>leases</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Remainder of 2026</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2027</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5,975 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lease payments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Less: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Present value of lease liabilities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Classification on consolidated balance sheet: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(see note 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Debt,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Present value of lease liabilities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both"/>
        <w:rPr>
          <w:rFonts w:ascii="Times New Roman;serif" w:hAnsi="Times New Roman;serif"/>
          <w:b w:val="false"/>
          <w:color w:val="000000"/>
          <w:sz w:val="22"/>
        </w:rPr>
      </w:pPr>
      <w:r>
        <w:rPr>
          <w:rFonts w:ascii="Times New Roman;serif" w:hAnsi="Times New Roman;serif"/>
          <w:b w:val="false"/>
          <w:color w:val="000000"/>
          <w:sz w:val="22"/>
        </w:rPr>
        <w:t>Supplemental cash flow information related to leases are as follows:</w:t>
      </w:r>
    </w:p>
    <w:tbl>
      <w:tblPr>
        <w:tblW w:w="6541" w:type="dxa"/>
        <w:jc w:val="left"/>
        <w:tblInd w:w="0" w:type="dxa"/>
        <w:tblLayout w:type="fixed"/>
        <w:tblCellMar>
          <w:top w:w="28" w:type="dxa"/>
          <w:left w:w="28" w:type="dxa"/>
          <w:bottom w:w="28" w:type="dxa"/>
          <w:right w:w="28" w:type="dxa"/>
        </w:tblCellMar>
      </w:tblPr>
      <w:tblGrid>
        <w:gridCol w:w="1533"/>
        <w:gridCol w:w="1344"/>
        <w:gridCol w:w="1352"/>
        <w:gridCol w:w="226"/>
        <w:gridCol w:w="526"/>
        <w:gridCol w:w="109"/>
        <w:gridCol w:w="109"/>
        <w:gridCol w:w="109"/>
        <w:gridCol w:w="109"/>
        <w:gridCol w:w="226"/>
        <w:gridCol w:w="526"/>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cash flows from operating leases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Operating cash flows from finance leases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Financing cash flows from finance leases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16.    Related party transactions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Alcon has been and continues to be the Company's largest customer, comprising 55% and 50% of its revenues for the six months ended June 30, 2026 and May 25, 2025, respectively. On May 22, 2023, Alcon entered into the Term Loan Credit Facility with the Company as described in note 9. This relationship as the Company's largest creditor, combined with its position as the Company's largest customer, caused management to conclude that Alcon has the ability to exert significant influence over the Company and therefore meets the definition of a related party beginning in May 2023 through the present.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Alcon’s transactions with the Company are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Customary current financial positions for a customer of Alcon's size, including accounts receivable, contract assets and liabilities, and revenue, each as presented in the consolidated balance sheets and statements of operations and the notes thereto. Alcon has provided the Company guaranteed contractual minimum purchasing commitments through 2031, and the Company is required to maintain certain manufacturing capacity levels through 2033;</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A significant individual prepayment that Alcon made to the Company in May 2024 of $5,500. The prepayment was accounted for as a contract liability and initially discounted to present value due to the existence of a significant financing component. The discount is being amortized over the life of the contract liability via charges to interest expense, related party. This contract liability is being derecognized beginning January 2026 by delivering goods to Alcon at a discount equal to twelve monthly credit memos totaling $5,500. As of June 30, 2026, the remaining contract liability balance of $2,688 which is net of the unamortized discount, is included in accrued expenses and other current liabilities on the consolidated balance sheet;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Proceeds of $142,270 from term loans issued in May 2023 that were used to repay prior borrowings. The term loan principal plus accrued interest has grown to $192,725 through June 30, 2026 as a result of interest paid-in-kind, which decreased from 10% to 7% beginning May 2026. Cash interest paid to Alcon for the three and six months ended June 30, 2026 was $605. See note 9 for additional information;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Alcon purchased equipment in May 2023 for $7,730 that it is leasing back to the Company in exchange for quarterly payments over a ten-year period. Payments to Alcon under the lease were $277 and $292 for the three months ended June 30, 2026 and May 25, 2025, respectively, and $557 and $587 for the six months ended June 30, 2026 and May 25, 2025, respectively. See note 9 for additional information;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Interest expense incurred from the Alcon instruments noted above, net of capitalized interest, was $14,165 and $9,856 for the six months ended June 30, 2026 and May 25, 2025, respectively. Included in those amounts was non-cash interest expense of $13,386 and $9,659 for the six months ended June 30, 2026 and May 25, 2025, respectively;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Contract assets, net of contract liabilities, from development projects of $3,005 and $728 as of June 30, 2026 and December 31, 2025, respectively, for the recognition of revenue as the result of performance obligations satisfied in advance of billing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discussion should be read in conjunction with the unaudited consolidated financial statements and accompanying notes included in Part I, Item 1, of this Quarterly Report on Form 10-Q and the audited consolidated financial statements and accompanying notes and Management’s Discussion and Analysis of Financial Condition and Results of Operations included in the Company’s Transition Report on Form 10-KT for the transition period ended December 31, 2025 (the “2025 Transition Report”).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as amended, and the Exchange Act. Words such as “anticipate,” “estimate,” “expect,” “project,” “aim,” “designed to,” “plan,” “intend,” “believe,” “may,” “might,” “will,” “should,” “can have,” “likely” and similar expressions are used to identify forward-looking statements. All forward-looking statements are subject to risks and uncertainties that may cause actual results to differ materially from those that we expected. Potential risks and uncertainties include, without limitation: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timing and amount of future expenses, revenue, cash flow and capital requirements, and timing and availability of and the need for additional financing;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our ability to maintain or expand our relationships with our current customers, including the impact of changes in consumer demand or prices for the products we manufacture for our customers;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our ability to grow and diversify our business with new customers, including the potential loss of development customers if they do not receive required funding or regulatory approvals or for other reasons;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our ability to comply with covenants under our credit agreements and to pay required interest and principal payments when due;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our ability to fund redemptions of shares of the outstanding Series A Redeemable Convertible Preferred Stock in accordance with their terms;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our ability to raise additional capital for ongoing needs, including through equity financing, debt financing, collaborations, strategic alliances or licensing arrangements;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impact of macroeconomic events or circumstances on our operations and financial performance, including inflation, tariffs, interest rates, social unrest and global instability;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performance of our third-party suppliers;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pharmaceutical industry market forces that may impact our customers’ success and continued demand for the products we produce for those customers;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our ability to recruit or retain key scientific, technical, business development, and management personnel and our executive officers;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our ability to comply with stringent U.S. and foreign government regulation in the manufacture of pharmaceutical products, including current Good Manufacturing Practice, or cGMP;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the outcome and cost of existing and any new litigation or regulatory proceedings.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Accordingly, our actual results could differ materially from those projected in the forward-looking statements for many reasons, including the risk factors referenced in Item 1A. “Risk Factors” of the 2025 Transition Report.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All forward-looking statements attributable to us are expressly qualified in their entirety by these cautionary statements as well as others made in this report, the 2025 Transition Report, and hereafter in our other SEC filings and public communications.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You should evaluate all forward-looking statements made by us in the context of all risks and uncertainties described with respect to our business. 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otherwise required by law. Given these risks and uncertainties, readers are cautioned not to place undue reliance on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Lifecore is a fully integrated CDMO that offers highly differentiated clinical and commercial capabilities in the development, cGMP manufacturing and aseptic filling of complex formulations and highly viscous sterile injectable pharmaceutical drug or medical device products in syringes, vials and cartridges, across a wide variety of modalities. We manufacture pharmaceutical-grade, non-animal-sourced hyaluronic acid (“HA”) in bulk form as well as for use in formulated and filled syringes and vials for our customers’ injectable products used in treating a broad spectrum of medical conditions and procedures, including ophthalmic and orthopedic applications. We also offer product development service capabilities to our customers that include analytical method development and validation, formulation development, sterile filtration, process scale-up, pilot studies, stability studies, process validation and production of materials for clinical studies.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Since May 2024, Lifecore has continued to make impactful improvements to its operations and financial position: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We have improved operations by expanding our revenue</w:t>
        <w:noBreakHyphen/>
        <w:t>generating capacity, increasing our focus on manufacturing efficiency and cost management, and investing in systems and processes to support more effective execution. In September 2024, the Company expanded its aseptic filling capabilities through the installation of a fully automated high</w:t>
        <w:noBreakHyphen/>
        <w:t>speed, multi</w:t>
        <w:noBreakHyphen/>
        <w:t>purpose 5</w:t>
        <w:noBreakHyphen/>
        <w:t>head aseptic isolator filler. In January 2026, Lifecore implemented a new enterprise resource planning (“ERP”) system designed to enhance inventory control, data visibility, and financial management. Through these and other initiatives, the Company believes that it has improved workforce productivity, reflecting the performance-driven culture at Lifecore and underscoring the Company’s commitment to continuous improvement.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We have strengthened our financial position through, among other actions, (i) raising $24.3 million in a private placement of Lifecore common stock in October 2024, (ii) a three-year term extension of our existing asset-based lending revolving credit facility with BMO in November 2024, (iii) the sale of certain excess capital equipment for $17 million in January 2025, (iv) the repayment of $19.7 million of borrowings on our outstanding revolving credit facility over the past 18 months, (v) reduced obligations with the payment of an aggregate amount of $4.7 million to the holders of the Redeemable Convertible Preferred Stock in full satisfaction of outstanding registration delay fees in November 2025, (vi) the implementation of operational cost reductions, including overhead costs and professional fees associated with legal, accounting and consulting spend; and (vii) in October 2024 we regained compliance with SEC reporting requirements and have been maintaining those requirements.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We enhanced our business development strategy, increased our investment in sales and marketing to support brand visibility, and expanded our business development team with sales talent who will focus on key drug development geographies in the United States and internationally. We have signed a total of 13 programs over the last 12 months, including eight late-stage programs.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Lifecore expects to further improve efficiencies and productivity through additional procurement and operational strategies that will build upon the new capabilities and information available from our ERP system. Lifecore expects this system to strengthen inventory control, support sharper financial management, and help reduce costs as the company grows. To further advance the Company’s efficiency objectives, the Company’s senior management team includes a head of business transformation who is championing the Company’s efforts to improve its cost structure, to drive productivity, and gain efficiencies. Through June 30, 2026, the Company has progressed more than 40 projects intended to promote cost reductions or productivity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August 1, 2025, our Board of Directors approved changing our fiscal year from a fiscal year ending on the last Sunday of May to a calendar year ending on December 31, and the Company has reported calendar periods since September 30, 2025. In accordance with SEC rules, the Company is presenting current period results compared to the most closely-comparable prior periods that can be derived from previously-reported results, which for this report were the three and six months ended May 25, 2025. With the exception of certain statements of operations, the Company did not previously report these periods on a standalone basis; rather, those periods were generally derived from the audited financial statements in the Company’s Form 10-K for the year ended May 25, 2025, less the unaudited results reported in its Forms 10-Q for the nine months ended February 23, 2025 and the six months ended November 24, 2024, respectively. In deriving the comparative period results, the Company reclassified certain amounts from previously-reported results to present them on a basis consistent with the current period presentation and, in some cases, the previously audited annual results. It was not practicable or cost-justifiable for the Company to prepare equivalent calendar-based comparative periods because the Company’s previous fiscal calendar does not align to the new calendar periods. The Company will begin providing calendar-based comparative periods beginning with its reporting as of and for the periods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Financial overview</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Lifecore generates revenues from two activities within a single, integrated segment: CDMO and HA manufacturing. CDMO includes aseptic formulation and filling of syringes, vials and cartridges for injectable products used for medical purposes and product development services to assist its customers in obtaining regulatory approval for the commercial sale of their device or drug product. HA manufacturing includes the production and sale of pharmaceutical-grade, non-animal-sourced HA using our proprietary, fermentation-based HA process in bulk form.</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costs are included in cost of sales: raw materials (including packaging, syringes, fermentation supplies and purification supplies), direct labor, overhead (including indirect labor, depreciation, and facility-related costs), and shipping and shipping-related costs.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Numerous factors can influence gross profit, including product mix, customer mix, manufacturing costs, timing of production, production yields, volume, sales discounts, contractual provisions, and charges to state inventories at their net realizable value, including as that relates to excess or obsolete inventory, among others. Many of these factors influence or are interrelated with other factors.</w:t>
      </w:r>
    </w:p>
    <w:p>
      <w:pPr>
        <w:pStyle w:val="TextBody"/>
        <w:bidi w:val="0"/>
        <w:spacing w:lineRule="auto" w:line="288" w:before="0" w:after="20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R&amp;D expenses consist primarily of product development and commercialization initiatives. </w:t>
      </w:r>
    </w:p>
    <w:p>
      <w:pPr>
        <w:pStyle w:val="TextBody"/>
        <w:bidi w:val="0"/>
        <w:spacing w:lineRule="auto" w:line="288" w:before="0" w:after="20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SG&amp;A expenses consist of salaries and related costs for administrative, public company and business development functions as well as legal fees, and consulting fees. Public company costs include compliance, audit, tax, insurance and investor relations.</w:t>
      </w:r>
    </w:p>
    <w:p>
      <w:pPr>
        <w:pStyle w:val="TextBody"/>
        <w:bidi w:val="0"/>
        <w:spacing w:lineRule="auto" w:line="288" w:before="0" w:after="20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debt derivative liability, related party, represents the fair value of various features in the credit facility that require bifurcation and accounting as a derivative instrument. Changes in the fair value are recorded as non-operating income or expense.</w:t>
      </w:r>
    </w:p>
    <w:p>
      <w:pPr>
        <w:pStyle w:val="TextBody"/>
        <w:bidi w:val="0"/>
        <w:spacing w:lineRule="auto" w:line="288" w:before="0" w:after="20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income tax benefit or expense primarily consists of current state income tax obligations and a schedule of net deferred federal tax attributes that are substantially offset by valuation allowances and net operating loss carryforwards. Changes in the income tax benefit or expense are generally driven by the mix of these various items and are generally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Results of operations – three months ended June 30, 2026</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Revenues and gross profit</w:t>
      </w:r>
    </w:p>
    <w:tbl>
      <w:tblPr>
        <w:tblW w:w="8100" w:type="dxa"/>
        <w:jc w:val="left"/>
        <w:tblInd w:w="0" w:type="dxa"/>
        <w:tblLayout w:type="fixed"/>
        <w:tblCellMar>
          <w:top w:w="28" w:type="dxa"/>
          <w:left w:w="28" w:type="dxa"/>
          <w:bottom w:w="28" w:type="dxa"/>
          <w:right w:w="28" w:type="dxa"/>
        </w:tblCellMar>
      </w:tblPr>
      <w:tblGrid>
        <w:gridCol w:w="836"/>
        <w:gridCol w:w="735"/>
        <w:gridCol w:w="738"/>
        <w:gridCol w:w="226"/>
        <w:gridCol w:w="826"/>
        <w:gridCol w:w="286"/>
        <w:gridCol w:w="109"/>
        <w:gridCol w:w="109"/>
        <w:gridCol w:w="109"/>
        <w:gridCol w:w="226"/>
        <w:gridCol w:w="826"/>
        <w:gridCol w:w="286"/>
        <w:gridCol w:w="109"/>
        <w:gridCol w:w="109"/>
        <w:gridCol w:w="109"/>
        <w:gridCol w:w="226"/>
        <w:gridCol w:w="796"/>
        <w:gridCol w:w="286"/>
        <w:gridCol w:w="109"/>
        <w:gridCol w:w="109"/>
        <w:gridCol w:w="109"/>
        <w:gridCol w:w="247"/>
        <w:gridCol w:w="248"/>
        <w:gridCol w:w="331"/>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CDMO</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15,552 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23,516 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HA manufacturing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18,615 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34,167 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36,444 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(2,277)</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22,462 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(370)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12,075 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13,982 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(1,907)</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 percentage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35.3 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22"/>
          <w:shd w:fill="FFFFFF" w:val="clear"/>
        </w:rPr>
        <w:t xml:space="preserve">The decrease in revenues of </w:t>
      </w:r>
      <w:r>
        <w:rPr>
          <w:rFonts w:ascii="Times New Roman;serif" w:hAnsi="Times New Roman;serif"/>
          <w:b w:val="false"/>
          <w:color w:val="000000"/>
          <w:sz w:val="22"/>
        </w:rPr>
        <w:t>$2.3 million</w:t>
      </w:r>
      <w:r>
        <w:rPr>
          <w:color w:val="000000"/>
          <w:shd w:fill="FFFFFF" w:val="clear"/>
        </w:rPr>
        <w:t xml:space="preserve"> </w:t>
      </w:r>
      <w:r>
        <w:rPr>
          <w:rFonts w:ascii="Times New Roman;serif" w:hAnsi="Times New Roman;serif"/>
          <w:b w:val="false"/>
          <w:color w:val="000000"/>
          <w:sz w:val="22"/>
          <w:shd w:fill="FFFFFF" w:val="clear"/>
        </w:rPr>
        <w:t xml:space="preserve">was primarily due to a </w:t>
      </w:r>
      <w:r>
        <w:rPr>
          <w:rFonts w:ascii="Times New Roman;serif" w:hAnsi="Times New Roman;serif"/>
          <w:b w:val="false"/>
          <w:color w:val="000000"/>
          <w:sz w:val="22"/>
        </w:rPr>
        <w:t>$8.0 million decrease in CDMO revenue</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which was primarily from</w:t>
      </w:r>
      <w:r>
        <w:rPr>
          <w:color w:val="000000"/>
          <w:shd w:fill="FFFFFF" w:val="clear"/>
        </w:rPr>
        <w:t xml:space="preserve"> </w:t>
      </w:r>
      <w:r>
        <w:rPr>
          <w:rFonts w:ascii="Times New Roman;serif" w:hAnsi="Times New Roman;serif"/>
          <w:b w:val="false"/>
          <w:color w:val="000000"/>
          <w:sz w:val="22"/>
          <w:shd w:fill="FFFFFF" w:val="clear"/>
        </w:rPr>
        <w:t xml:space="preserve">$5.9 million of lower sales volumes, $1.2 million of lower development revenue due to completion of discrete development projects in the prior comparable period and timing of customer project lifecycles, and a $0.9 million </w:t>
      </w:r>
      <w:r>
        <w:rPr>
          <w:rFonts w:ascii="Times New Roman;serif" w:hAnsi="Times New Roman;serif"/>
          <w:b w:val="false"/>
          <w:color w:val="000000"/>
          <w:sz w:val="22"/>
        </w:rPr>
        <w:t>contractual take-or-pay arrangement in the prior period</w:t>
      </w:r>
      <w:r>
        <w:rPr>
          <w:rFonts w:ascii="Times New Roman;serif" w:hAnsi="Times New Roman;serif"/>
          <w:b w:val="false"/>
          <w:color w:val="000000"/>
          <w:sz w:val="22"/>
          <w:shd w:fill="FFFFFF" w:val="clear"/>
        </w:rPr>
        <w:t xml:space="preserve">. The CDMO decline was partially offset by a </w:t>
      </w:r>
      <w:r>
        <w:rPr>
          <w:rFonts w:ascii="Times New Roman;serif" w:hAnsi="Times New Roman;serif"/>
          <w:b w:val="false"/>
          <w:color w:val="000000"/>
          <w:sz w:val="22"/>
        </w:rPr>
        <w:t>$5.7 million</w:t>
      </w:r>
      <w:r>
        <w:rPr>
          <w:color w:val="000000"/>
          <w:shd w:fill="FFFFFF" w:val="clear"/>
        </w:rPr>
        <w:t xml:space="preserve"> </w:t>
      </w:r>
      <w:r>
        <w:rPr>
          <w:rFonts w:ascii="Times New Roman;serif" w:hAnsi="Times New Roman;serif"/>
          <w:b w:val="false"/>
          <w:color w:val="000000"/>
          <w:sz w:val="22"/>
        </w:rPr>
        <w:t>increase</w:t>
      </w:r>
      <w:r>
        <w:rPr>
          <w:color w:val="000000"/>
          <w:shd w:fill="FFFFFF" w:val="clear"/>
        </w:rPr>
        <w:t xml:space="preserve"> </w:t>
      </w:r>
      <w:r>
        <w:rPr>
          <w:rFonts w:ascii="Times New Roman;serif" w:hAnsi="Times New Roman;serif"/>
          <w:b w:val="false"/>
          <w:color w:val="000000"/>
          <w:sz w:val="22"/>
          <w:shd w:fill="FFFFFF" w:val="clear"/>
        </w:rPr>
        <w:t>in HA manufacturing revenues primarily due to timing.</w:t>
      </w:r>
    </w:p>
    <w:p>
      <w:pPr>
        <w:pStyle w:val="TextBody"/>
        <w:bidi w:val="0"/>
        <w:spacing w:lineRule="auto" w:line="288" w:before="0" w:after="200"/>
        <w:jc w:val="both"/>
        <w:rPr/>
      </w:pPr>
      <w:r>
        <w:rPr>
          <w:rFonts w:ascii="Times New Roman;serif" w:hAnsi="Times New Roman;serif"/>
          <w:b w:val="false"/>
          <w:color w:val="000000"/>
          <w:sz w:val="22"/>
          <w:shd w:fill="FFFFFF" w:val="clear"/>
        </w:rPr>
        <w:t xml:space="preserve">The </w:t>
      </w:r>
      <w:r>
        <w:rPr>
          <w:rFonts w:ascii="Times New Roman;serif" w:hAnsi="Times New Roman;serif"/>
          <w:b w:val="false"/>
          <w:color w:val="000000"/>
          <w:sz w:val="22"/>
        </w:rPr>
        <w:t>decrease</w:t>
      </w:r>
      <w:r>
        <w:rPr>
          <w:color w:val="000000"/>
          <w:shd w:fill="FFFFFF" w:val="clear"/>
        </w:rPr>
        <w:t xml:space="preserve"> </w:t>
      </w:r>
      <w:r>
        <w:rPr>
          <w:rFonts w:ascii="Times New Roman;serif" w:hAnsi="Times New Roman;serif"/>
          <w:b w:val="false"/>
          <w:color w:val="000000"/>
          <w:sz w:val="22"/>
          <w:shd w:fill="FFFFFF" w:val="clear"/>
        </w:rPr>
        <w:t xml:space="preserve">of </w:t>
      </w:r>
      <w:r>
        <w:rPr>
          <w:rFonts w:ascii="Times New Roman;serif" w:hAnsi="Times New Roman;serif"/>
          <w:b w:val="false"/>
          <w:color w:val="000000"/>
          <w:sz w:val="22"/>
        </w:rPr>
        <w:t>$1.9 million</w:t>
      </w:r>
      <w:r>
        <w:rPr>
          <w:color w:val="000000"/>
          <w:shd w:fill="FFFFFF" w:val="clear"/>
        </w:rPr>
        <w:t xml:space="preserve"> </w:t>
      </w:r>
      <w:r>
        <w:rPr>
          <w:rFonts w:ascii="Times New Roman;serif" w:hAnsi="Times New Roman;serif"/>
          <w:b w:val="false"/>
          <w:color w:val="000000"/>
          <w:sz w:val="22"/>
          <w:shd w:fill="FFFFFF" w:val="clear"/>
        </w:rPr>
        <w:t xml:space="preserve">in gross profit is due to a $4.5 million decrease in CDMO gross profit due to lower commercial and development sales, unfavorable adjustments for net realizable value, revaluation, process loss, manufacturing variances, and </w:t>
      </w:r>
      <w:r>
        <w:rPr>
          <w:rFonts w:ascii="Times New Roman;serif" w:hAnsi="Times New Roman;serif"/>
          <w:b w:val="false"/>
          <w:color w:val="000000"/>
          <w:sz w:val="22"/>
        </w:rPr>
        <w:t>a $0.9 million contractual take-or-pay arrangement in the prior period, partially offset by favorable labor and overhead absorption and lower departmental expenses. The CDMO decline was partially offset by a $2.6 million increase in HA manufacturing gross profit due to increased sales volume.</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Operating expenses</w:t>
      </w:r>
    </w:p>
    <w:tbl>
      <w:tblPr>
        <w:tblW w:w="10205" w:type="dxa"/>
        <w:jc w:val="left"/>
        <w:tblInd w:w="0" w:type="dxa"/>
        <w:tblLayout w:type="fixed"/>
        <w:tblCellMar>
          <w:top w:w="28" w:type="dxa"/>
          <w:left w:w="28" w:type="dxa"/>
          <w:bottom w:w="28" w:type="dxa"/>
          <w:right w:w="28" w:type="dxa"/>
        </w:tblCellMar>
      </w:tblPr>
      <w:tblGrid>
        <w:gridCol w:w="2038"/>
        <w:gridCol w:w="1686"/>
        <w:gridCol w:w="1683"/>
        <w:gridCol w:w="226"/>
        <w:gridCol w:w="706"/>
        <w:gridCol w:w="109"/>
        <w:gridCol w:w="109"/>
        <w:gridCol w:w="109"/>
        <w:gridCol w:w="109"/>
        <w:gridCol w:w="226"/>
        <w:gridCol w:w="706"/>
        <w:gridCol w:w="109"/>
        <w:gridCol w:w="109"/>
        <w:gridCol w:w="109"/>
        <w:gridCol w:w="109"/>
        <w:gridCol w:w="226"/>
        <w:gridCol w:w="594"/>
        <w:gridCol w:w="109"/>
        <w:gridCol w:w="109"/>
        <w:gridCol w:w="109"/>
        <w:gridCol w:w="109"/>
        <w:gridCol w:w="236"/>
        <w:gridCol w:w="237"/>
        <w:gridCol w:w="333"/>
      </w:tblGrid>
      <w:tr>
        <w:trPr/>
        <w:tc>
          <w:tcPr>
            <w:tcW w:w="203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recovery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 net of portion classified as 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9,508 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8,655 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Research and development (“R&amp;D”)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R&amp;D expenses declined primarily due to increased utilization of R&amp;D personnel on revenue-generating development projects as well as a headcount reduction following an internal reorganization. These were offset in part by increased stock-based compensation.</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Selling, general, and administrative (“SG&amp;A”)</w:t>
      </w:r>
    </w:p>
    <w:p>
      <w:pPr>
        <w:pStyle w:val="TextBody"/>
        <w:bidi w:val="0"/>
        <w:spacing w:lineRule="auto" w:line="288" w:before="0" w:after="200"/>
        <w:jc w:val="both"/>
        <w:rPr/>
      </w:pPr>
      <w:r>
        <w:rPr>
          <w:rFonts w:ascii="Times New Roman;serif" w:hAnsi="Times New Roman;serif"/>
          <w:b w:val="false"/>
          <w:color w:val="000000"/>
          <w:sz w:val="22"/>
        </w:rPr>
        <w:t xml:space="preserve">The $1.0 million decrease </w:t>
      </w:r>
      <w:r>
        <w:rPr>
          <w:rFonts w:ascii="Times New Roman;serif" w:hAnsi="Times New Roman;serif"/>
          <w:b w:val="false"/>
          <w:color w:val="000000"/>
          <w:sz w:val="22"/>
          <w:shd w:fill="FFFFFF" w:val="clear"/>
        </w:rPr>
        <w:t>in SG&amp;A expenses includes $0.5 million of lower recurring legal and accounting expenses, and lower compensation, as well as a $0.6 million of lower non-recurring expenses primarily related to legacy legal matters and prior period restructuring.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Restructuring recovery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three months ended May 25, 2025 included a credit of $2.6 million for the favorable reversal of a historical lease obligation of the divested Curation Foods business.</w:t>
      </w:r>
    </w:p>
    <w:p>
      <w:pPr>
        <w:pStyle w:val="TextBody"/>
        <w:bidi w:val="0"/>
        <w:spacing w:lineRule="auto" w:line="288" w:before="0" w:after="20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Loss on sale or disposal of assets</w:t>
      </w:r>
    </w:p>
    <w:p>
      <w:pPr>
        <w:pStyle w:val="TextBody"/>
        <w:bidi w:val="0"/>
        <w:spacing w:lineRule="auto" w:line="288" w:before="0" w:after="20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loss on sale or disposal of assets was immaterial.</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Non-operating income or expense</w:t>
      </w:r>
    </w:p>
    <w:tbl>
      <w:tblPr>
        <w:tblW w:w="10205" w:type="dxa"/>
        <w:jc w:val="left"/>
        <w:tblInd w:w="0" w:type="dxa"/>
        <w:tblLayout w:type="fixed"/>
        <w:tblCellMar>
          <w:top w:w="28" w:type="dxa"/>
          <w:left w:w="28" w:type="dxa"/>
          <w:bottom w:w="28" w:type="dxa"/>
          <w:right w:w="28" w:type="dxa"/>
        </w:tblCellMar>
      </w:tblPr>
      <w:tblGrid>
        <w:gridCol w:w="1873"/>
        <w:gridCol w:w="1635"/>
        <w:gridCol w:w="1639"/>
        <w:gridCol w:w="226"/>
        <w:gridCol w:w="785"/>
        <w:gridCol w:w="109"/>
        <w:gridCol w:w="109"/>
        <w:gridCol w:w="109"/>
        <w:gridCol w:w="109"/>
        <w:gridCol w:w="226"/>
        <w:gridCol w:w="785"/>
        <w:gridCol w:w="109"/>
        <w:gridCol w:w="109"/>
        <w:gridCol w:w="109"/>
        <w:gridCol w:w="109"/>
        <w:gridCol w:w="226"/>
        <w:gridCol w:w="785"/>
        <w:gridCol w:w="109"/>
        <w:gridCol w:w="109"/>
        <w:gridCol w:w="109"/>
        <w:gridCol w:w="109"/>
        <w:gridCol w:w="203"/>
        <w:gridCol w:w="203"/>
        <w:gridCol w:w="311"/>
      </w:tblGrid>
      <w:tr>
        <w:trPr/>
        <w:tc>
          <w:tcPr>
            <w:tcW w:w="1873"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net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(7,607)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debt derivative liability, related party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income,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bl>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Interest expense, net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increase in interest expense, net of interest income, included an increase of $1.4 million related to the Alcon term loans, which will continue to grow due to accumulating interest paid-in-kind and amortization of the debt discount and $0.7 million more interest expense caused by the completion of certain capital expenditure projects where interest was previously capitalized to property, plant and equipment.</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Other non-operating income or expense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None of the other income or expense categories changed materially period over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Results of operations – six months ended June 30, 2026</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Revenues and gross profit</w:t>
      </w:r>
    </w:p>
    <w:tbl>
      <w:tblPr>
        <w:tblW w:w="8220" w:type="dxa"/>
        <w:jc w:val="left"/>
        <w:tblInd w:w="0" w:type="dxa"/>
        <w:tblLayout w:type="fixed"/>
        <w:tblCellMar>
          <w:top w:w="28" w:type="dxa"/>
          <w:left w:w="28" w:type="dxa"/>
          <w:bottom w:w="28" w:type="dxa"/>
          <w:right w:w="28" w:type="dxa"/>
        </w:tblCellMar>
      </w:tblPr>
      <w:tblGrid>
        <w:gridCol w:w="836"/>
        <w:gridCol w:w="735"/>
        <w:gridCol w:w="738"/>
        <w:gridCol w:w="226"/>
        <w:gridCol w:w="826"/>
        <w:gridCol w:w="286"/>
        <w:gridCol w:w="109"/>
        <w:gridCol w:w="109"/>
        <w:gridCol w:w="109"/>
        <w:gridCol w:w="226"/>
        <w:gridCol w:w="826"/>
        <w:gridCol w:w="286"/>
        <w:gridCol w:w="109"/>
        <w:gridCol w:w="109"/>
        <w:gridCol w:w="109"/>
        <w:gridCol w:w="226"/>
        <w:gridCol w:w="916"/>
        <w:gridCol w:w="286"/>
        <w:gridCol w:w="109"/>
        <w:gridCol w:w="109"/>
        <w:gridCol w:w="109"/>
        <w:gridCol w:w="247"/>
        <w:gridCol w:w="248"/>
        <w:gridCol w:w="331"/>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CDMO</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44,305 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(12,978)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HA manufacturing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26,033 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27,293 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(1,260)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 revenues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57,360 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71,598 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(14,238)</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40,823 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47,771 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16,537 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23,827 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(7,290)</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 percentage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33.3 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22"/>
        </w:rPr>
        <w:t xml:space="preserve">The decrease of $14.2 million in revenues </w:t>
      </w:r>
      <w:r>
        <w:rPr>
          <w:rFonts w:ascii="Times New Roman;serif" w:hAnsi="Times New Roman;serif"/>
          <w:b w:val="false"/>
          <w:color w:val="000000"/>
          <w:sz w:val="22"/>
          <w:shd w:fill="FFFFFF" w:val="clear"/>
        </w:rPr>
        <w:t>w</w:t>
      </w:r>
      <w:r>
        <w:rPr>
          <w:rFonts w:ascii="Times New Roman;serif" w:hAnsi="Times New Roman;serif"/>
          <w:b w:val="false"/>
          <w:color w:val="000000"/>
          <w:sz w:val="22"/>
        </w:rPr>
        <w:t>as primarily due to a $13.0 million decrease in CDMO revenue, which was primarily from $8.8 million of overall lower sales volumes, $2.5 million of lower development revenue, and</w:t>
      </w:r>
      <w:r>
        <w:rPr>
          <w:color w:val="000000"/>
          <w:shd w:fill="FFFFFF" w:val="clear"/>
        </w:rPr>
        <w:t xml:space="preserve"> </w:t>
      </w:r>
      <w:r>
        <w:rPr>
          <w:rFonts w:ascii="Times New Roman;serif" w:hAnsi="Times New Roman;serif"/>
          <w:b w:val="false"/>
          <w:color w:val="000000"/>
          <w:sz w:val="22"/>
          <w:shd w:fill="FFFFFF" w:val="clear"/>
        </w:rPr>
        <w:t xml:space="preserve">a $1.7 million take-or-pay arrangement in the prior period. In addition, HA manufacturing revenues </w:t>
      </w:r>
      <w:r>
        <w:rPr>
          <w:rFonts w:ascii="Times New Roman;serif" w:hAnsi="Times New Roman;serif"/>
          <w:b w:val="false"/>
          <w:color w:val="000000"/>
          <w:sz w:val="22"/>
        </w:rPr>
        <w:t>decrease</w:t>
      </w:r>
      <w:r>
        <w:rPr>
          <w:rFonts w:ascii="Times New Roman;serif" w:hAnsi="Times New Roman;serif"/>
          <w:b w:val="false"/>
          <w:color w:val="000000"/>
          <w:sz w:val="22"/>
          <w:shd w:fill="FFFFFF" w:val="clear"/>
        </w:rPr>
        <w:t xml:space="preserve">d </w:t>
      </w:r>
      <w:r>
        <w:rPr>
          <w:rFonts w:ascii="Times New Roman;serif" w:hAnsi="Times New Roman;serif"/>
          <w:b w:val="false"/>
          <w:color w:val="000000"/>
          <w:sz w:val="22"/>
        </w:rPr>
        <w:t xml:space="preserve">$1.3 million, $3.1 million of which was primarily due to timing of revenues from Lifecore’s largest customer’s supply chain initiatives, partially offset by $1.8 million of increased demand from other customers and pricing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pPr>
      <w:r>
        <w:rPr>
          <w:rFonts w:ascii="Times New Roman;serif" w:hAnsi="Times New Roman;serif"/>
          <w:b w:val="false"/>
          <w:color w:val="000000"/>
          <w:sz w:val="22"/>
          <w:shd w:fill="FFFFFF" w:val="clear"/>
        </w:rPr>
        <w:t xml:space="preserve">The </w:t>
      </w:r>
      <w:r>
        <w:rPr>
          <w:rFonts w:ascii="Times New Roman;serif" w:hAnsi="Times New Roman;serif"/>
          <w:b w:val="false"/>
          <w:color w:val="000000"/>
          <w:sz w:val="22"/>
        </w:rPr>
        <w:t>decrease</w:t>
      </w:r>
      <w:r>
        <w:rPr>
          <w:color w:val="000000"/>
          <w:shd w:fill="FFFFFF" w:val="clear"/>
        </w:rPr>
        <w:t xml:space="preserve"> </w:t>
      </w:r>
      <w:r>
        <w:rPr>
          <w:rFonts w:ascii="Times New Roman;serif" w:hAnsi="Times New Roman;serif"/>
          <w:b w:val="false"/>
          <w:color w:val="000000"/>
          <w:sz w:val="22"/>
          <w:shd w:fill="FFFFFF" w:val="clear"/>
        </w:rPr>
        <w:t xml:space="preserve">of </w:t>
      </w:r>
      <w:r>
        <w:rPr>
          <w:rFonts w:ascii="Times New Roman;serif" w:hAnsi="Times New Roman;serif"/>
          <w:b w:val="false"/>
          <w:color w:val="000000"/>
          <w:sz w:val="22"/>
        </w:rPr>
        <w:t>$7.3 million</w:t>
      </w:r>
      <w:r>
        <w:rPr>
          <w:color w:val="000000"/>
          <w:shd w:fill="FFFFFF" w:val="clear"/>
        </w:rPr>
        <w:t xml:space="preserve"> </w:t>
      </w:r>
      <w:r>
        <w:rPr>
          <w:rFonts w:ascii="Times New Roman;serif" w:hAnsi="Times New Roman;serif"/>
          <w:b w:val="false"/>
          <w:color w:val="000000"/>
          <w:sz w:val="22"/>
          <w:shd w:fill="FFFFFF" w:val="clear"/>
        </w:rPr>
        <w:t xml:space="preserve">in gross profit is due to a $4.3 million decrease in CDMO gross profit due to lower commercial and development sales, unfavorable adjustments for net realizable value, revaluation, process loss, manufacturing variances, and </w:t>
      </w:r>
      <w:r>
        <w:rPr>
          <w:rFonts w:ascii="Times New Roman;serif" w:hAnsi="Times New Roman;serif"/>
          <w:b w:val="false"/>
          <w:color w:val="000000"/>
          <w:sz w:val="22"/>
        </w:rPr>
        <w:t xml:space="preserve">a $1.7 million contractual take-or-pay arrangement in the prior period, partially offset by favorable labor and overhead absorption, lower departmental expenses, and </w:t>
      </w:r>
      <w:r>
        <w:rPr>
          <w:rFonts w:ascii="Times New Roman;serif" w:hAnsi="Times New Roman;serif"/>
          <w:b w:val="false"/>
          <w:color w:val="000000"/>
          <w:sz w:val="22"/>
          <w:shd w:fill="FFFFFF" w:val="clear"/>
        </w:rPr>
        <w:t>$0.9 million of higher prior year costs</w:t>
      </w:r>
      <w:r>
        <w:rPr>
          <w:color w:val="000000"/>
        </w:rPr>
        <w:t xml:space="preserve"> </w:t>
      </w:r>
      <w:r>
        <w:rPr>
          <w:rFonts w:ascii="Times New Roman;serif" w:hAnsi="Times New Roman;serif"/>
          <w:b w:val="false"/>
          <w:color w:val="000000"/>
          <w:sz w:val="22"/>
        </w:rPr>
        <w:t>due to a customer termination resulting in write-off of inventory and equipment. In addition, HA manufacturing gross profit declined $3.2 million due to lower sales and unfavorable absorption.</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Operating expenses</w:t>
      </w:r>
    </w:p>
    <w:tbl>
      <w:tblPr>
        <w:tblW w:w="10205" w:type="dxa"/>
        <w:jc w:val="left"/>
        <w:tblInd w:w="0" w:type="dxa"/>
        <w:tblLayout w:type="fixed"/>
        <w:tblCellMar>
          <w:top w:w="28" w:type="dxa"/>
          <w:left w:w="28" w:type="dxa"/>
          <w:bottom w:w="28" w:type="dxa"/>
          <w:right w:w="28" w:type="dxa"/>
        </w:tblCellMar>
      </w:tblPr>
      <w:tblGrid>
        <w:gridCol w:w="1910"/>
        <w:gridCol w:w="1546"/>
        <w:gridCol w:w="1541"/>
        <w:gridCol w:w="226"/>
        <w:gridCol w:w="826"/>
        <w:gridCol w:w="109"/>
        <w:gridCol w:w="109"/>
        <w:gridCol w:w="109"/>
        <w:gridCol w:w="109"/>
        <w:gridCol w:w="226"/>
        <w:gridCol w:w="826"/>
        <w:gridCol w:w="109"/>
        <w:gridCol w:w="109"/>
        <w:gridCol w:w="109"/>
        <w:gridCol w:w="109"/>
        <w:gridCol w:w="226"/>
        <w:gridCol w:w="769"/>
        <w:gridCol w:w="109"/>
        <w:gridCol w:w="109"/>
        <w:gridCol w:w="109"/>
        <w:gridCol w:w="109"/>
        <w:gridCol w:w="233"/>
        <w:gridCol w:w="234"/>
        <w:gridCol w:w="334"/>
      </w:tblGrid>
      <w:tr>
        <w:trPr/>
        <w:tc>
          <w:tcPr>
            <w:tcW w:w="191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9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99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(1,394)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recovery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Loss on sale or disposal of assets, net of portion classified as cost of sales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expenses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18,642 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27,529 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(8,887)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R&amp;D expenses declined primarily due to increased utilization of R&amp;D personnel on revenue-generating development projects, as well as a headcount reduction following an internal reorganization.</w:t>
      </w:r>
    </w:p>
    <w:p>
      <w:pPr>
        <w:pStyle w:val="TextBody"/>
        <w:bidi w:val="0"/>
        <w:spacing w:lineRule="auto" w:line="288" w:before="0" w:after="20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Selling, general, and administrative</w:t>
      </w:r>
    </w:p>
    <w:p>
      <w:pPr>
        <w:pStyle w:val="TextBody"/>
        <w:bidi w:val="0"/>
        <w:spacing w:lineRule="auto" w:line="288" w:before="0" w:after="200"/>
        <w:jc w:val="both"/>
        <w:rPr/>
      </w:pPr>
      <w:r>
        <w:rPr>
          <w:rFonts w:ascii="Times New Roman;serif" w:hAnsi="Times New Roman;serif"/>
          <w:b w:val="false"/>
          <w:color w:val="000000"/>
          <w:sz w:val="22"/>
        </w:rPr>
        <w:t>The $3.2 million</w:t>
      </w:r>
      <w:r>
        <w:rPr>
          <w:color w:val="000000"/>
          <w:shd w:fill="FFFFFF" w:val="clear"/>
        </w:rPr>
        <w:t xml:space="preserve"> </w:t>
      </w:r>
      <w:r>
        <w:rPr>
          <w:rFonts w:ascii="Times New Roman;serif" w:hAnsi="Times New Roman;serif"/>
          <w:b w:val="false"/>
          <w:color w:val="000000"/>
          <w:sz w:val="22"/>
          <w:shd w:fill="FFFFFF" w:val="clear"/>
        </w:rPr>
        <w:t>decrease in SG&amp;A expenses includes a reduction of $1.4 million in recurring accounting and legal expenses, and lower compensation, a $0.4 million reduction in stock-based compensation, and a $1.3 million reduction in non-recurring expenses primarily related to legacy matters and prior period restructuring.</w:t>
      </w:r>
    </w:p>
    <w:p>
      <w:pPr>
        <w:pStyle w:val="TextBody"/>
        <w:bidi w:val="0"/>
        <w:spacing w:lineRule="auto" w:line="288" w:before="0" w:after="20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Restructuring recovery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six months ended May 25, 2025 included a credit of $2.6 million for the favorable reversal of a historical lease obligation of the divested Curation Foods business.</w:t>
      </w:r>
    </w:p>
    <w:p>
      <w:pPr>
        <w:pStyle w:val="TextBody"/>
        <w:bidi w:val="0"/>
        <w:spacing w:lineRule="auto" w:line="288" w:before="0" w:after="20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Loss on sale or disposal of assets</w:t>
      </w:r>
    </w:p>
    <w:p>
      <w:pPr>
        <w:pStyle w:val="TextBody"/>
        <w:bidi w:val="0"/>
        <w:spacing w:lineRule="auto" w:line="288" w:before="0" w:after="200"/>
        <w:jc w:val="both"/>
        <w:rPr/>
      </w:pPr>
      <w:r>
        <w:rPr>
          <w:rFonts w:ascii="Times New Roman;serif" w:hAnsi="Times New Roman;serif"/>
          <w:b w:val="false"/>
          <w:color w:val="000000"/>
          <w:sz w:val="22"/>
          <w:shd w:fill="FFFFFF" w:val="clear"/>
        </w:rPr>
        <w:t xml:space="preserve">The </w:t>
      </w:r>
      <w:r>
        <w:rPr>
          <w:rFonts w:ascii="Times New Roman;serif" w:hAnsi="Times New Roman;serif"/>
          <w:b w:val="false"/>
          <w:color w:val="000000"/>
          <w:sz w:val="22"/>
        </w:rPr>
        <w:t xml:space="preserve">$6.9 million </w:t>
      </w:r>
      <w:r>
        <w:rPr>
          <w:rFonts w:ascii="Times New Roman;serif" w:hAnsi="Times New Roman;serif"/>
          <w:b w:val="false"/>
          <w:color w:val="000000"/>
          <w:sz w:val="22"/>
          <w:shd w:fill="FFFFFF" w:val="clear"/>
        </w:rPr>
        <w:t>loss on sale or disposal of assets in the prior period was primarily due to a $6.4 million loss on the sale of ce</w:t>
      </w:r>
      <w:r>
        <w:rPr>
          <w:rFonts w:ascii="Times New Roman;serif" w:hAnsi="Times New Roman;serif"/>
          <w:b w:val="false"/>
          <w:color w:val="000000"/>
          <w:sz w:val="22"/>
        </w:rPr>
        <w:t>rtain excess equipment. That loss was primarily related to the write-off of historically capitalized interest costs, as we recovered substantially all of the cash originally paid to purchase the equipment from the sale proceeds.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Non-operating income or expense</w:t>
      </w:r>
    </w:p>
    <w:tbl>
      <w:tblPr>
        <w:tblW w:w="10205" w:type="dxa"/>
        <w:jc w:val="left"/>
        <w:tblInd w:w="0" w:type="dxa"/>
        <w:tblLayout w:type="fixed"/>
        <w:tblCellMar>
          <w:top w:w="28" w:type="dxa"/>
          <w:left w:w="28" w:type="dxa"/>
          <w:bottom w:w="28" w:type="dxa"/>
          <w:right w:w="28" w:type="dxa"/>
        </w:tblCellMar>
      </w:tblPr>
      <w:tblGrid>
        <w:gridCol w:w="1796"/>
        <w:gridCol w:w="1563"/>
        <w:gridCol w:w="1567"/>
        <w:gridCol w:w="226"/>
        <w:gridCol w:w="902"/>
        <w:gridCol w:w="109"/>
        <w:gridCol w:w="109"/>
        <w:gridCol w:w="109"/>
        <w:gridCol w:w="109"/>
        <w:gridCol w:w="226"/>
        <w:gridCol w:w="902"/>
        <w:gridCol w:w="109"/>
        <w:gridCol w:w="109"/>
        <w:gridCol w:w="109"/>
        <w:gridCol w:w="109"/>
        <w:gridCol w:w="226"/>
        <w:gridCol w:w="782"/>
        <w:gridCol w:w="109"/>
        <w:gridCol w:w="109"/>
        <w:gridCol w:w="109"/>
        <w:gridCol w:w="109"/>
        <w:gridCol w:w="203"/>
        <w:gridCol w:w="203"/>
        <w:gridCol w:w="301"/>
      </w:tblGrid>
      <w:tr>
        <w:trPr/>
        <w:tc>
          <w:tcPr>
            <w:tcW w:w="179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9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net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(14,827)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(3,825)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35 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fair value of debt derivative liability, related party</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Other income,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Interest expense, net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increase in interest expense, net of interest income, of $3.8 million was primarily from $2.8 million more interest related to the Alcon term loans, which will continue to grow due to accumulating interest paid-in-kind and amortization of the debt discount and $1.5 million more interest expense caused by the completion of certain capital expenditure projects where interest was previously capitalized to property, plant and equipment. These increases were partially offset from various other small items.</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Change in fair value of debt derivative liability, related party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$2.7 million increase in expense was primarily attributable to changes in key valuation inputs during the period, including a higher discount rate caused by a decline in the Company’s synthetic credit rating, as well as the passage of time.</w:t>
      </w:r>
    </w:p>
    <w:p>
      <w:pPr>
        <w:pStyle w:val="TextBody"/>
        <w:bidi w:val="0"/>
        <w:spacing w:lineRule="auto" w:line="288" w:before="0" w:after="200"/>
        <w:jc w:val="both"/>
        <w:rPr>
          <w:rFonts w:ascii="Times New Roman;serif" w:hAnsi="Times New Roman;serif"/>
          <w:b w:val="false"/>
          <w:i/>
          <w:color w:val="000000"/>
          <w:sz w:val="22"/>
        </w:rPr>
      </w:pPr>
      <w:r>
        <w:rPr>
          <w:rFonts w:ascii="Times New Roman;serif" w:hAnsi="Times New Roman;serif"/>
          <w:b w:val="false"/>
          <w:i/>
          <w:color w:val="000000"/>
          <w:sz w:val="22"/>
        </w:rPr>
        <w:t>Other non-operating income or expense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None of the other income or expense categories changed materially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0" w:after="200"/>
        <w:jc w:val="both"/>
        <w:rPr/>
      </w:pPr>
      <w:r>
        <w:rPr>
          <w:rFonts w:ascii="Times New Roman;serif" w:hAnsi="Times New Roman;serif"/>
          <w:b w:val="false"/>
          <w:color w:val="000000"/>
          <w:sz w:val="22"/>
          <w:shd w:fill="FFFFFF" w:val="clear"/>
        </w:rPr>
        <w:t xml:space="preserve">As of June 30, 2026, the Company had cash of $17.2 million and $21.6 million available for borrowing (together, “consolidated liquidity”) under its </w:t>
      </w:r>
      <w:r>
        <w:rPr>
          <w:rFonts w:ascii="Times New Roman;serif" w:hAnsi="Times New Roman;serif"/>
          <w:b w:val="false"/>
          <w:color w:val="000000"/>
          <w:sz w:val="22"/>
        </w:rPr>
        <w:t>$40.0 million</w:t>
      </w:r>
      <w:r>
        <w:rPr>
          <w:color w:val="000000"/>
          <w:shd w:fill="FFFFFF" w:val="clear"/>
        </w:rPr>
        <w:t xml:space="preserve"> </w:t>
      </w:r>
      <w:r>
        <w:rPr>
          <w:rFonts w:ascii="Times New Roman;serif" w:hAnsi="Times New Roman;serif"/>
          <w:b w:val="false"/>
          <w:color w:val="000000"/>
          <w:sz w:val="22"/>
          <w:shd w:fill="FFFFFF" w:val="clear"/>
        </w:rPr>
        <w:t xml:space="preserve">Revolving Credit Facility, with no amounts outstanding as of June 30, 2026. As of June 30, 2026, the Company had approximately </w:t>
      </w:r>
      <w:r>
        <w:rPr>
          <w:rFonts w:ascii="Times New Roman;serif" w:hAnsi="Times New Roman;serif"/>
          <w:b w:val="false"/>
          <w:color w:val="000000"/>
          <w:sz w:val="22"/>
        </w:rPr>
        <w:t xml:space="preserve">$198.1 million in total indebtedness with Alcon, with $192.7 million outstanding under the Term Loan Credit Facility. </w:t>
      </w:r>
      <w:r>
        <w:rPr>
          <w:rFonts w:ascii="Times New Roman;serif" w:hAnsi="Times New Roman;serif"/>
          <w:b w:val="false"/>
          <w:color w:val="000000"/>
          <w:sz w:val="22"/>
          <w:shd w:fill="FFFFFF" w:val="clear"/>
        </w:rPr>
        <w:t xml:space="preserve">The Company is subject to minimum liquidity covenants under its credit agreements, the most restrictive of which requires the Company to maintain at least </w:t>
      </w:r>
      <w:r>
        <w:rPr>
          <w:rFonts w:ascii="Times New Roman;serif" w:hAnsi="Times New Roman;serif"/>
          <w:b w:val="false"/>
          <w:color w:val="000000"/>
          <w:sz w:val="22"/>
        </w:rPr>
        <w:t>$4.0 million</w:t>
      </w:r>
      <w:r>
        <w:rPr>
          <w:color w:val="000000"/>
          <w:shd w:fill="FFFFFF" w:val="clear"/>
        </w:rPr>
        <w:t xml:space="preserve"> </w:t>
      </w:r>
      <w:r>
        <w:rPr>
          <w:rFonts w:ascii="Times New Roman;serif" w:hAnsi="Times New Roman;serif"/>
          <w:b w:val="false"/>
          <w:color w:val="000000"/>
          <w:sz w:val="22"/>
          <w:shd w:fill="FFFFFF" w:val="clear"/>
        </w:rPr>
        <w:t xml:space="preserve">of consolidated liquidity, as adjusted for any excess payables, at the end of each fiscal quarter. As of June 30, 2026, the Company was in compliance with all financial covenants under the Term Loan Credit Facility and Revolving Credit Facility. See “Part I, Item 1. Note </w:t>
      </w:r>
      <w:r>
        <w:rPr>
          <w:rFonts w:ascii="Times New Roman;serif" w:hAnsi="Times New Roman;serif"/>
          <w:b w:val="false"/>
          <w:color w:val="000000"/>
          <w:sz w:val="22"/>
        </w:rPr>
        <w:t>9</w:t>
      </w:r>
      <w:r>
        <w:rPr>
          <w:color w:val="000000"/>
          <w:shd w:fill="FFFFFF" w:val="clear"/>
        </w:rPr>
        <w:t xml:space="preserve"> – </w:t>
      </w:r>
      <w:r>
        <w:rPr>
          <w:rFonts w:ascii="Times New Roman;serif" w:hAnsi="Times New Roman;serif"/>
          <w:b w:val="false"/>
          <w:color w:val="000000"/>
          <w:sz w:val="22"/>
          <w:shd w:fill="FFFFFF" w:val="clear"/>
        </w:rPr>
        <w:t xml:space="preserve">Debt” in this </w:t>
      </w:r>
      <w:r>
        <w:rPr>
          <w:rFonts w:ascii="Times New Roman;serif" w:hAnsi="Times New Roman;serif"/>
          <w:b w:val="false"/>
          <w:color w:val="000000"/>
          <w:sz w:val="22"/>
        </w:rPr>
        <w:t xml:space="preserve">Quarterly </w:t>
      </w:r>
      <w:r>
        <w:rPr>
          <w:rFonts w:ascii="Times New Roman;serif" w:hAnsi="Times New Roman;serif"/>
          <w:b w:val="false"/>
          <w:color w:val="000000"/>
          <w:sz w:val="22"/>
          <w:shd w:fill="FFFFFF" w:val="clear"/>
        </w:rPr>
        <w:t xml:space="preserve">Report on Form </w:t>
      </w:r>
      <w:r>
        <w:rPr>
          <w:rFonts w:ascii="Times New Roman;serif" w:hAnsi="Times New Roman;serif"/>
          <w:b w:val="false"/>
          <w:color w:val="000000"/>
          <w:sz w:val="22"/>
        </w:rPr>
        <w:t>10-Q</w:t>
      </w:r>
      <w:r>
        <w:rPr>
          <w:color w:val="000000"/>
          <w:shd w:fill="FFFFFF" w:val="clear"/>
        </w:rPr>
        <w:t xml:space="preserve"> </w:t>
      </w:r>
      <w:r>
        <w:rPr>
          <w:rFonts w:ascii="Times New Roman;serif" w:hAnsi="Times New Roman;serif"/>
          <w:b w:val="false"/>
          <w:color w:val="000000"/>
          <w:sz w:val="22"/>
          <w:shd w:fill="FFFFFF" w:val="clear"/>
        </w:rPr>
        <w:t>for a summary of the Term Loan Credit Facility and Revolving Credit Facility.</w:t>
      </w:r>
    </w:p>
    <w:p>
      <w:pPr>
        <w:pStyle w:val="TextBody"/>
        <w:bidi w:val="0"/>
        <w:spacing w:lineRule="auto" w:line="288" w:before="0" w:after="200"/>
        <w:jc w:val="both"/>
        <w:rPr/>
      </w:pPr>
      <w:r>
        <w:rPr>
          <w:rFonts w:ascii="Times New Roman;serif" w:hAnsi="Times New Roman;serif"/>
          <w:b w:val="false"/>
          <w:color w:val="000000"/>
          <w:sz w:val="22"/>
          <w:shd w:fill="FFFFFF" w:val="clear"/>
        </w:rPr>
        <w:t xml:space="preserve">The following table presents comparative summary cash flows for the </w:t>
      </w:r>
      <w:r>
        <w:rPr>
          <w:rFonts w:ascii="Times New Roman;serif" w:hAnsi="Times New Roman;serif"/>
          <w:b w:val="false"/>
          <w:color w:val="000000"/>
          <w:sz w:val="22"/>
        </w:rPr>
        <w:t>six months ended June 30, 2026 and May 25, 2025</w:t>
      </w:r>
      <w:r>
        <w:rPr>
          <w:rFonts w:ascii="Times New Roman;serif" w:hAnsi="Times New Roman;serif"/>
          <w:b w:val="false"/>
          <w:color w:val="000000"/>
          <w:sz w:val="22"/>
          <w:shd w:fill="FFFFFF" w:val="clear"/>
        </w:rPr>
        <w:t>:</w:t>
      </w:r>
    </w:p>
    <w:tbl>
      <w:tblPr>
        <w:tblW w:w="7137" w:type="dxa"/>
        <w:jc w:val="left"/>
        <w:tblInd w:w="0" w:type="dxa"/>
        <w:tblLayout w:type="fixed"/>
        <w:tblCellMar>
          <w:top w:w="28" w:type="dxa"/>
          <w:left w:w="28" w:type="dxa"/>
          <w:bottom w:w="28" w:type="dxa"/>
          <w:right w:w="28" w:type="dxa"/>
        </w:tblCellMar>
      </w:tblPr>
      <w:tblGrid>
        <w:gridCol w:w="1135"/>
        <w:gridCol w:w="999"/>
        <w:gridCol w:w="1001"/>
        <w:gridCol w:w="226"/>
        <w:gridCol w:w="706"/>
        <w:gridCol w:w="109"/>
        <w:gridCol w:w="109"/>
        <w:gridCol w:w="109"/>
        <w:gridCol w:w="109"/>
        <w:gridCol w:w="226"/>
        <w:gridCol w:w="796"/>
        <w:gridCol w:w="109"/>
        <w:gridCol w:w="109"/>
        <w:gridCol w:w="109"/>
        <w:gridCol w:w="109"/>
        <w:gridCol w:w="226"/>
        <w:gridCol w:w="79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May 25,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Net cash provided by (used in):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6,077 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(1,190)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962 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Cash flow improved by $1.0 million in the six months ended June 30, 2026 compared to the six months ended May 25, 2025 for the following reasons: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Operating cash flows decreased $4.0 million primarily due to the decline in revenue period over period. In the 2026 period, the combined effect of net loss and the non-working capital adjustments to reconcile net loss to operating cash flows generated $5.6 million of cash, which was partially offset by changes in working capital of $3.1 million primarily related to an increase in accounts receivable. In the 2025 period, the combined effect of net loss and the non-working capital adjustments to reconcile net loss to operating cash flows generated $10.0 million, which was partially offset by $3.5 million of net working capital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Investing cash outflows decreased by $1.1 million due to the absence of $7.0 million cash from the sale of certain excess equipment in the 2025 period, partially offset by lower capital spending in the 2026 period compared to the 2025 period;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Financing cash outflows decreased $6.1 million primarily from the absence of a net $6.0 million of repayments under the revolving credit facility in the 2025 period.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Company’s future capital requirements will depend on numerous factors, including our future capital expenditure requirements; development, production and manufacturing activities; administrative requirements (including salaries, insurance expenses and legal compliance costs); ability to establish and maintain new and existing customer arrangements; the costs associated with any legal proceedings and claims; any decision to pursue acquisition opportunities; the timing and amount of amounts payable or payments owed under customer agreements; the ability to comply with regulatory requirements; the emergence of competitive technology and market forces; the effectiveness of customers’ activities and arrangements; the redemptions of the Redeemable Convertible Preferred Stock and any payment of the accrued and unpaid liquidation preference on shares of the Redeemable Convertible Preferred Stock, if required; payments required under the Term Loan Credit Facility and Revolving Credit Facility; and other factors. If the Company’s currently available funds, together with the internally generated cash flow from operations are not sufficient to satisfy its capital needs, the Company would be required to seek additional funding through various financing transactions or arrangements, including equity financing, debt financing, collaborations, strategic alliances or licensing arrangements, or other means. There can be no assurance that additional funds, if required, will be available to the Company on favorable terms, if at all.</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Company’s principal sources of liquidity consist of its existing cash, any additional cash generated by operations, and availability under its Revolving Credit Facility. The Company expects these sources will be sufficient to finance its current operational and capital requirements for at least the next twelve months.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Cash obligations relating to Redeemable Convertible Preferred Stock</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On January 9, 2023, the Company issued 38,750 shares of Redeemable Convertible Preferred Stock for a purchase price of $1,000 per share (the stated value) and gross proceeds of $38.8 million. The Redeemable Convertible Preferred Stock accrues dividends and is redeemable at the option of the holder as discussed further below. </w:t>
      </w:r>
    </w:p>
    <w:p>
      <w:pPr>
        <w:pStyle w:val="TextBody"/>
        <w:bidi w:val="0"/>
        <w:spacing w:lineRule="auto" w:line="288" w:before="0" w:after="200"/>
        <w:jc w:val="both"/>
        <w:rPr/>
      </w:pPr>
      <w:r>
        <w:rPr>
          <w:rFonts w:ascii="Times New Roman;serif" w:hAnsi="Times New Roman;serif"/>
          <w:b w:val="false"/>
          <w:color w:val="000000"/>
          <w:sz w:val="22"/>
        </w:rPr>
        <w:t xml:space="preserve">The holders of Redeemable Convertible Preferred Stock are entitled to dividends at a rate of 7.5% per annum, or $75 per share, payable in-kind and compounding quarterly. The holders are also entitled to participate in dividends declared or paid on the Common Stock on an as-converted basis. At </w:t>
      </w:r>
      <w:r>
        <w:rPr>
          <w:rFonts w:ascii="Times New Roman;serif" w:hAnsi="Times New Roman;serif"/>
          <w:b w:val="false"/>
          <w:color w:val="000000"/>
          <w:sz w:val="22"/>
          <w:shd w:fill="FFFFFF" w:val="clear"/>
        </w:rPr>
        <w:t>June 30, 2026</w:t>
      </w:r>
      <w:r>
        <w:rPr>
          <w:rFonts w:ascii="Times New Roman;serif" w:hAnsi="Times New Roman;serif"/>
          <w:b w:val="false"/>
          <w:color w:val="000000"/>
          <w:sz w:val="22"/>
        </w:rPr>
        <w:t xml:space="preserve">, there were $0.9 million of dividends in arrears that had not yet been paid-in-kind in the form of additional shares of Redeemable Convertible Preferred Stock, representing $18.75 per preferred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200" w:after="200"/>
        <w:jc w:val="both"/>
        <w:rPr/>
      </w:pPr>
      <w:r>
        <w:rPr>
          <w:rFonts w:ascii="Times New Roman;serif" w:hAnsi="Times New Roman;serif"/>
          <w:b w:val="false"/>
          <w:color w:val="000000"/>
          <w:sz w:val="22"/>
        </w:rPr>
        <w:t xml:space="preserve">Each holder of outstanding shares of Redeemable Convertible Preferred Stock had the right to request that the Company redeem all or part of such holder’s outstanding Redeemable Convertible Preferred Stock beginning on June 29, 2026. To make such cash redemption payments the Company would be required to obtain a consent to such cash redemption payments or waiver of the restriction on cash dividends and/or redemptions set forth in each of the Company’s credit agreements. To the extent consents or waivers are not obtained under each of the Company’s credit agreements, the Company would be in breach thereof if such payments in cash were made. The redemption price for each share of Redeemable Convertible Preferred Stock is an amount equal to its liquidation preference of $1,000 per share of Redeemable Convertible Preferred Stock to be redeemed plus accrued and unpaid dividends on such shares through the date of redemption. As of </w:t>
      </w:r>
      <w:r>
        <w:rPr>
          <w:rFonts w:ascii="Times New Roman;serif" w:hAnsi="Times New Roman;serif"/>
          <w:b w:val="false"/>
          <w:color w:val="000000"/>
          <w:sz w:val="22"/>
          <w:shd w:fill="FFFFFF" w:val="clear"/>
        </w:rPr>
        <w:t>June 30, 2026</w:t>
      </w:r>
      <w:r>
        <w:rPr>
          <w:color w:val="000000"/>
        </w:rPr>
        <w:t xml:space="preserve"> </w:t>
      </w:r>
      <w:r>
        <w:rPr>
          <w:rFonts w:ascii="Times New Roman;serif" w:hAnsi="Times New Roman;serif"/>
          <w:b w:val="false"/>
          <w:color w:val="000000"/>
          <w:sz w:val="22"/>
        </w:rPr>
        <w:t>and December 31, 2025, the aggregate liquidation preference of the Redeemable Convertible Preferred Stock was $50.2 million and $48.4 million, respectively. As of June 30, 2026, the Company had received notices of redemption for all 49,263 shares of Redeemable Convertible Preferred Stock. Pursuant to the terms of the Redeemable Convertible Preferred Stock, the redemption date and payment of the redemption price for all shares of the Redeemable Convertible Preferred Stock would occur on December 28, 2026. To the extent that the Company does not or cannot redeem all shares of Redeemable Convertible Preferred Stock that are submitted for redemption, we would be subject to interest on the unpaid balance at a rate of 1% per month in respect of that holder’s unredeemed shares of Redeemable Convertible Preferred Stock from the redemption date until paid in full in addition to our continuing obligation to accrue dividends paid in kind at 7.5% per annum.</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Lifecore’s internally generated cash is not expected to be sufficient to fund all or any significant redemptions of the Redeemable Convertible Preferred Stock. The Company has previously begun and continues to evaluate a range of strategic alternatives to facilitate the redemptions, including use of cash on hand, potential debt or equity financing transactions, and/or other possible strategic transactions, and to seek the requisite consents from the Company’s lenders. The Company intends to seek alternatives that it believes will improve its capital structure for what it expects to be its next phase of growth, and the Company’s Board of Directors remains committed to maximizing value for the Company’s stockholders, while remaining committed to serving the Company’s customers, supporting the Company’s employees and growing the business.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November 2025, the Company paid an aggregate amount of $4.7 million to the holders of the Redeemable Convertible Preferred Stock in full satisfaction of the outstanding registration delay fees.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Contractual and other cash obligations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Company’s material contractual obligations for the next five years mainly relate to its debt and lease obligations.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Indebtedness</w:t>
      </w:r>
    </w:p>
    <w:p>
      <w:pPr>
        <w:pStyle w:val="TextBody"/>
        <w:bidi w:val="0"/>
        <w:spacing w:lineRule="auto" w:line="288" w:before="0" w:after="200"/>
        <w:jc w:val="both"/>
        <w:rPr/>
      </w:pPr>
      <w:r>
        <w:rPr>
          <w:rFonts w:ascii="Times New Roman;serif" w:hAnsi="Times New Roman;serif"/>
          <w:b w:val="false"/>
          <w:color w:val="000000"/>
          <w:sz w:val="22"/>
        </w:rPr>
        <w:t xml:space="preserve">Refer to “Part I, Item 1. Note 9. </w:t>
      </w:r>
      <w:r>
        <w:rPr>
          <w:color w:val="000000"/>
        </w:rPr>
        <w:t xml:space="preserve">– </w:t>
      </w:r>
      <w:r>
        <w:rPr>
          <w:rFonts w:ascii="Times New Roman;serif" w:hAnsi="Times New Roman;serif"/>
          <w:b w:val="false"/>
          <w:color w:val="000000"/>
          <w:sz w:val="22"/>
        </w:rPr>
        <w:t>Debt” elsewhere in this Quarterly Report on Form 10-Q for a description of the terms of outstanding indebtedness, including the Term Loan Credit Facility and Revolving Credit Facility, which is incorporated herein by reference.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 had $192.7 million in borrowings outstanding under the Term Loan Credit Facility at an effective annual interest rate of 20.9%, which includes the amortization of the debt discount. The stated annual interest rate is 10%, which is payable-in-kind until May 2026, following which interest is payable at a fixed rate of 3% per annum in cash with the remainder payable-in-kind. The obligations under the Term Loan Credit Facility mature on May 22, 2029. Interest paid-in-kind under the Term Loan Credit Facility for the six months ended June 30, 2026 was $8.6 million. In June 2026, the Company made its first quarterly payment of 3% cash interest for the first month following the third anniversary of entering into the Term Loan Credit Facility in the amount of $0.6 million.</w:t>
      </w:r>
    </w:p>
    <w:p>
      <w:pPr>
        <w:pStyle w:val="TextBody"/>
        <w:bidi w:val="0"/>
        <w:spacing w:lineRule="auto" w:line="288" w:before="0" w:after="200"/>
        <w:jc w:val="both"/>
        <w:rPr/>
      </w:pPr>
      <w:r>
        <w:rPr>
          <w:rFonts w:ascii="Times New Roman;serif" w:hAnsi="Times New Roman;serif"/>
          <w:b w:val="false"/>
          <w:color w:val="000000"/>
          <w:sz w:val="22"/>
          <w:shd w:fill="FFFFFF" w:val="clear"/>
        </w:rPr>
        <w:t xml:space="preserve">As of June 30, 2026, the Company had no outstanding borrowings under the Revolving Credit Facility. </w:t>
      </w:r>
      <w:r>
        <w:rPr>
          <w:rFonts w:ascii="Times New Roman;serif" w:hAnsi="Times New Roman;serif"/>
          <w:b w:val="false"/>
          <w:color w:val="000000"/>
          <w:sz w:val="22"/>
        </w:rPr>
        <w:t>The obligations under the Revolving Credit Facility mature on November 26, 2027. Interest paid under the Revolving Credit Facility for the six months ended June 30, 2026 was negligible.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to the Company’s critical accounting estimates from those disclosed in the Company’s 2025 Transition Report. For a discussion of our critical accounting estimates, refer to “Management’s Discussion and Analysis of Financial Condition and Results of Operations – Critical Accounting Policies and Use of Estimates” in Part II, Item 7 of the Company’s 2025 Transition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Company is a smaller reporting company as defined by Rule 12b-2 of the Exchange Act and is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Evaluation of disclosure controls and procedures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required by Rule 13a-15(b) under the Exchange Act, we have evaluated, under the supervision and with the participation of our management, including our principal executive officer and principal financial officer, the effectiveness of our disclosure controls and procedures (as defined in Rules 13a-15(e) and 15d-15(e) under the Exchange Act) as of the end of the period covered by this Form 10-Q. Based upon such evaluation, our principal executive officer and principal financial officer concluded that, because the material weakness in our internal control over financial reporting described in our Transition Report on Form 10-KT for the transition period ended December 31, 2025 had not been fully remediated as of June 30, 2026, our disclosure controls and procedures were not effective as of June 30, 2026.</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Previously reported material weakness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As disclosed in Item 9A of our Transition Report on Form 10-KT for the transition period ended December 31, 2025, management identified a material weakness related to the design and operation of controls within the information and communication and control activities components of the COSO framework, arising from limitations in our legacy ERP environment. Specifically, we did not design and maintain effective IT general controls for our legacy ERP environment.</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Management's plan for remediation of the material weakness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Management, with oversight from the Audit Committee, is continuing to execute the remediation plan adopted in connection with the material weakness described above. Our remediation efforts are designed to address the control deficiencies underlying the material weakness and to strengthen the overall internal control environment.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Progress during the six months ended June 30, 2026 includes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In January 2026, we launched our new ERP system, replacing the legacy ERP environment that gave rise to the material weakness. The new ERP system is intended to improve the reliability and consistency of key data elements and system-generated reports used in financial reporting.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We enhanced and executed IT general controls for the new ERP system, including controls over change management, logical access and security, and computer operations, which are necessary to support process-level controls that rely on the completeness and accuracy of key data elements and system-generated reports, and that support automated controls and IT-dependent manual controls.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We improved business process controls operating within the new ERP environment, including process-level controls within our financial reporting processes that utilize system-generated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Planned remediation activities include: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Completing the design and implementation of the redesigned IT general controls and related process-level controls in the new ERP environment.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2"/>
        </w:rPr>
        <w:t>Testing the operating effectiveness of the redesigned controls over a sufficient period to conclude on their effectiveness.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material weakness will not be considered remediated until management has designed and implemented effective controls that have operated for a sufficient period of time, and has concluded, through testing, that these controls are effective.</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Changes in internal control over financial reporting</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Other than the changes associated with the ERP implementation and remediation activities described above, 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the ordinary course of business, the Company is involved in various legal proceedings and claims. For further discussion, see the disclosures contained in note 8 to the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You should carefully consider the risks described in Part I, Item 1A, “Risk Factors” of the 2025 Transition Report, as our business, financial condition and results of operations could be adversely affected by any of the risks and uncertainties described therein and herein. There have been no material changes to our risk factors as previously disclosed under Part I, Item 1A “Risk Factors” in the 2025 Transition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Rule 10b5-1 trading plans</w: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none of our directors and executive officers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88" w:before="0" w:after="0"/>
        <w:jc w:val="left"/>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44"/>
        <w:gridCol w:w="301"/>
        <w:gridCol w:w="302"/>
        <w:gridCol w:w="109"/>
        <w:gridCol w:w="109"/>
        <w:gridCol w:w="109"/>
        <w:gridCol w:w="2733"/>
        <w:gridCol w:w="2549"/>
        <w:gridCol w:w="3649"/>
      </w:tblGrid>
      <w:tr>
        <w:trP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r>
      <w:tr>
        <w:trPr/>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80"/>
                  <w:sz w:val="22"/>
                  <w:u w:val="single"/>
                </w:rPr>
                <w:t>Lifecore Biomedical, Inc. Incentive 2026 Stock Incentive Plan</w:t>
              </w:r>
            </w:hyperlink>
            <w:hyperlink r:id="rId3">
              <w:r>
                <w:rPr>
                  <w:rStyle w:val="InternetLink"/>
                  <w:rFonts w:ascii="Times New Roman;serif" w:hAnsi="Times New Roman;serif"/>
                  <w:b w:val="false"/>
                  <w:color w:val="000080"/>
                  <w:sz w:val="22"/>
                  <w:u w:val="single"/>
                </w:rPr>
                <w:t>, incorporated by reference to Exhibit 10.1 to the Registrant</w:t>
              </w:r>
            </w:hyperlink>
            <w:hyperlink r:id="rId4">
              <w:r>
                <w:rPr>
                  <w:rStyle w:val="InternetLink"/>
                  <w:rFonts w:ascii="Times New Roman;serif" w:hAnsi="Times New Roman;serif"/>
                  <w:b w:val="false"/>
                  <w:color w:val="000080"/>
                  <w:sz w:val="22"/>
                  <w:u w:val="single"/>
                </w:rPr>
                <w:t>’</w:t>
              </w:r>
            </w:hyperlink>
            <w:hyperlink r:id="rId5">
              <w:r>
                <w:rPr>
                  <w:rStyle w:val="InternetLink"/>
                  <w:rFonts w:ascii="Times New Roman;serif" w:hAnsi="Times New Roman;serif"/>
                  <w:b w:val="false"/>
                  <w:color w:val="000080"/>
                  <w:sz w:val="22"/>
                  <w:u w:val="single"/>
                </w:rPr>
                <w:t>s Current Report on Form 8-K filed on June 5, 2026.</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fcr-20260630xexx311.htm">
              <w:r>
                <w:rPr>
                  <w:rStyle w:val="InternetLink"/>
                  <w:rFonts w:ascii="Times New Roman;serif" w:hAnsi="Times New Roman;serif"/>
                  <w:b w:val="false"/>
                  <w:color w:val="0000FF"/>
                  <w:sz w:val="22"/>
                  <w:u w:val="single"/>
                </w:rPr>
                <w:t>Certification of Principal Executive Officer pursuant to Section 302 of the Sarbanes-Oxley Act of 2002.</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fcr-20260630xexx312.htm">
              <w:r>
                <w:rPr>
                  <w:rStyle w:val="InternetLink"/>
                  <w:rFonts w:ascii="Times New Roman;serif" w:hAnsi="Times New Roman;serif"/>
                  <w:b w:val="false"/>
                  <w:color w:val="0000FF"/>
                  <w:sz w:val="22"/>
                  <w:u w:val="single"/>
                </w:rPr>
                <w:t>Certification of Principal Financial Officer pursuant to Section 302 of the Sarbanes-Oxley Act of 2002.</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fcr-20260630xexx321.htm">
              <w:r>
                <w:rPr>
                  <w:rStyle w:val="InternetLink"/>
                  <w:rFonts w:ascii="Times New Roman;serif" w:hAnsi="Times New Roman;serif"/>
                  <w:b w:val="false"/>
                  <w:color w:val="0000FF"/>
                  <w:sz w:val="22"/>
                  <w:u w:val="single"/>
                </w:rPr>
                <w:t>Certification of Principal Executive Officer pursuant to Section 906 of the Sarbanes-Oxley Act of 2002.</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fcr-20260630xexx322.htm">
              <w:r>
                <w:rPr>
                  <w:rStyle w:val="InternetLink"/>
                  <w:rFonts w:ascii="Times New Roman;serif" w:hAnsi="Times New Roman;serif"/>
                  <w:b w:val="false"/>
                  <w:color w:val="0000FF"/>
                  <w:sz w:val="22"/>
                  <w:u w:val="single"/>
                </w:rPr>
                <w:t>Certification of Principal Financial Officer pursuant to Section 906 of the Sarbanes-Oxley Act of 2002.</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Inline XBRL Instance Document–the instance document does not appear in the Interactive Data File as its XBRL tags are embedded within the Inline XBRL document</w:t>
            </w:r>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Inline XBRL Taxonomy Extension Schema With Embedded Linkbase Documents</w:t>
            </w:r>
          </w:p>
        </w:tc>
      </w:tr>
      <w:tr>
        <w:trPr/>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Filed herewith.</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Information is furnished and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88" w:before="0" w:after="200"/>
        <w:jc w:val="both"/>
        <w:rPr/>
      </w:pPr>
      <w:hyperlink w:anchor="if960e4e3e02f4b2baa760ab420b41f9b_1784">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tbl>
      <w:tblPr>
        <w:tblW w:w="5387" w:type="dxa"/>
        <w:jc w:val="right"/>
        <w:tblInd w:w="0" w:type="dxa"/>
        <w:tblLayout w:type="fixed"/>
        <w:tblCellMar>
          <w:top w:w="28" w:type="dxa"/>
          <w:left w:w="28" w:type="dxa"/>
          <w:bottom w:w="28" w:type="dxa"/>
          <w:right w:w="28" w:type="dxa"/>
        </w:tblCellMar>
      </w:tblPr>
      <w:tblGrid>
        <w:gridCol w:w="387"/>
        <w:gridCol w:w="341"/>
        <w:gridCol w:w="341"/>
        <w:gridCol w:w="671"/>
        <w:gridCol w:w="671"/>
        <w:gridCol w:w="671"/>
        <w:gridCol w:w="671"/>
        <w:gridCol w:w="671"/>
        <w:gridCol w:w="963"/>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538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LIFECORE BIOMEDICAL, INC.</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1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Paul Josephs</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Paul Josephs</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1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Ryan D. Lake</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Ryan D. Lake</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and Accounting Officer)</w:t>
            </w:r>
          </w:p>
        </w:tc>
      </w:tr>
    </w:tbl>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CERTIFICATION OF PRINCIPAL EXECUTIVE OFFICER</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PURSUANT TO 18 U.S.C. SECTION 1350,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ADOPTED PURSUANT TO SECTION 302 OF</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THE SARBANES-OXLEY ACT OF 2002</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 Paul Josephs, certify that:</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Lifecore Biomedical, Inc.;</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Date: August 5, 2026</w:t>
      </w:r>
    </w:p>
    <w:tbl>
      <w:tblPr>
        <w:tblW w:w="4422" w:type="dxa"/>
        <w:jc w:val="left"/>
        <w:tblInd w:w="0" w:type="dxa"/>
        <w:tblLayout w:type="fixed"/>
        <w:tblCellMar>
          <w:top w:w="28" w:type="dxa"/>
          <w:left w:w="28" w:type="dxa"/>
          <w:bottom w:w="28" w:type="dxa"/>
          <w:right w:w="28" w:type="dxa"/>
        </w:tblCellMar>
      </w:tblPr>
      <w:tblGrid>
        <w:gridCol w:w="124"/>
        <w:gridCol w:w="109"/>
        <w:gridCol w:w="109"/>
        <w:gridCol w:w="1195"/>
        <w:gridCol w:w="1195"/>
        <w:gridCol w:w="16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Paul Josephs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Paul Josephs</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CERTIFICATION OF PRINCIPAL FINANCIAL OFFICER</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PURSUANT TO 18 U.S.C. SECTION 1350,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ADOPTED PURSUANT TO SECTION 302 OF</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THE SARBANES-OXLEY ACT OF 2002</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 Ryan D. Lake, certify that:</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Lifecore Biomedical, Inc.;</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200"/>
        <w:jc w:val="both"/>
        <w:rPr/>
      </w:pPr>
      <w:r>
        <w:rPr/>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bl>
      <w:tblPr>
        <w:tblW w:w="3867" w:type="dxa"/>
        <w:jc w:val="left"/>
        <w:tblInd w:w="0" w:type="dxa"/>
        <w:tblLayout w:type="fixed"/>
        <w:tblCellMar>
          <w:top w:w="28" w:type="dxa"/>
          <w:left w:w="28" w:type="dxa"/>
          <w:bottom w:w="28" w:type="dxa"/>
          <w:right w:w="28" w:type="dxa"/>
        </w:tblCellMar>
      </w:tblPr>
      <w:tblGrid>
        <w:gridCol w:w="124"/>
        <w:gridCol w:w="109"/>
        <w:gridCol w:w="109"/>
        <w:gridCol w:w="1030"/>
        <w:gridCol w:w="1030"/>
        <w:gridCol w:w="14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Ryan D. Lake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Ryan D. Lake</w:t>
              <w:b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200"/>
        <w:ind w:left="0" w:right="0" w:firstLine="18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0" w:after="0"/>
        <w:ind w:left="0" w:right="0" w:firstLine="180"/>
        <w:jc w:val="center"/>
        <w:rPr>
          <w:rFonts w:ascii="Times New Roman;serif" w:hAnsi="Times New Roman;serif"/>
          <w:b w:val="false"/>
          <w:color w:val="000000"/>
          <w:sz w:val="22"/>
        </w:rPr>
      </w:pPr>
      <w:r>
        <w:rPr>
          <w:rFonts w:ascii="Times New Roman;serif" w:hAnsi="Times New Roman;serif"/>
          <w:b w:val="false"/>
          <w:color w:val="000000"/>
          <w:sz w:val="22"/>
        </w:rPr>
        <w:t>CERTIFICATION PURSUANT TO</w:t>
      </w:r>
    </w:p>
    <w:p>
      <w:pPr>
        <w:pStyle w:val="TextBody"/>
        <w:bidi w:val="0"/>
        <w:spacing w:lineRule="auto" w:line="288" w:before="0" w:after="0"/>
        <w:ind w:left="0" w:right="0" w:firstLine="180"/>
        <w:jc w:val="center"/>
        <w:rPr>
          <w:rFonts w:ascii="Times New Roman;serif" w:hAnsi="Times New Roman;serif"/>
          <w:b w:val="false"/>
          <w:color w:val="000000"/>
          <w:sz w:val="22"/>
        </w:rPr>
      </w:pPr>
      <w:r>
        <w:rPr>
          <w:rFonts w:ascii="Times New Roman;serif" w:hAnsi="Times New Roman;serif"/>
          <w:b w:val="false"/>
          <w:color w:val="000000"/>
          <w:sz w:val="22"/>
        </w:rPr>
        <w:t>18 U.S.C. SECTION 1350,</w:t>
      </w:r>
    </w:p>
    <w:p>
      <w:pPr>
        <w:pStyle w:val="TextBody"/>
        <w:bidi w:val="0"/>
        <w:spacing w:lineRule="auto" w:line="288" w:before="0" w:after="0"/>
        <w:ind w:left="0" w:right="0" w:firstLine="180"/>
        <w:jc w:val="center"/>
        <w:rPr>
          <w:rFonts w:ascii="Times New Roman;serif" w:hAnsi="Times New Roman;serif"/>
          <w:b w:val="false"/>
          <w:color w:val="000000"/>
          <w:sz w:val="22"/>
        </w:rPr>
      </w:pPr>
      <w:r>
        <w:rPr>
          <w:rFonts w:ascii="Times New Roman;serif" w:hAnsi="Times New Roman;serif"/>
          <w:b w:val="false"/>
          <w:color w:val="000000"/>
          <w:sz w:val="22"/>
        </w:rPr>
        <w:t>AS ADOPTED PURSUANT TO</w:t>
      </w:r>
    </w:p>
    <w:p>
      <w:pPr>
        <w:pStyle w:val="TextBody"/>
        <w:bidi w:val="0"/>
        <w:spacing w:lineRule="auto" w:line="288" w:before="0" w:after="200"/>
        <w:ind w:left="0" w:right="0" w:firstLine="180"/>
        <w:jc w:val="center"/>
        <w:rPr>
          <w:rFonts w:ascii="Times New Roman;serif" w:hAnsi="Times New Roman;serif"/>
          <w:b w:val="false"/>
          <w:color w:val="000000"/>
          <w:sz w:val="22"/>
        </w:rPr>
      </w:pPr>
      <w:r>
        <w:rPr>
          <w:rFonts w:ascii="Times New Roman;serif" w:hAnsi="Times New Roman;serif"/>
          <w:b w:val="false"/>
          <w:color w:val="000000"/>
          <w:sz w:val="22"/>
        </w:rPr>
        <w:t>SECTION 906 OF THE SARBANES-OXLEY ACT OF 2002</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of Lifecore Biomedical, Inc. (the “Company”) for the period ended June 30, 2026, as filed with the Securities and Exchange Commission on the date hereof (the “Report”), I, Paul Josephs, Chief Executive Officer and President of the Company, certify, pursuant to 18 U.S.C. § 1350, as adopted pursuant to § 906 of the Sarbanes-Oxley Act of 2002, that:</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lineRule="auto" w:line="288" w:before="0" w:after="200"/>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bl>
      <w:tblPr>
        <w:tblW w:w="4422" w:type="dxa"/>
        <w:jc w:val="left"/>
        <w:tblInd w:w="0" w:type="dxa"/>
        <w:tblLayout w:type="fixed"/>
        <w:tblCellMar>
          <w:top w:w="28" w:type="dxa"/>
          <w:left w:w="28" w:type="dxa"/>
          <w:bottom w:w="28" w:type="dxa"/>
          <w:right w:w="28" w:type="dxa"/>
        </w:tblCellMar>
      </w:tblPr>
      <w:tblGrid>
        <w:gridCol w:w="124"/>
        <w:gridCol w:w="109"/>
        <w:gridCol w:w="109"/>
        <w:gridCol w:w="1195"/>
        <w:gridCol w:w="1195"/>
        <w:gridCol w:w="16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Paul Josephs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Paul Josephs</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ind w:left="0" w:right="0" w:firstLine="18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288" w:before="0" w:after="0"/>
        <w:ind w:left="0" w:right="0" w:firstLine="180"/>
        <w:jc w:val="center"/>
        <w:rPr>
          <w:rFonts w:ascii="Times New Roman;serif" w:hAnsi="Times New Roman;serif"/>
          <w:b w:val="false"/>
          <w:color w:val="000000"/>
          <w:sz w:val="22"/>
        </w:rPr>
      </w:pPr>
      <w:r>
        <w:rPr>
          <w:rFonts w:ascii="Times New Roman;serif" w:hAnsi="Times New Roman;serif"/>
          <w:b w:val="false"/>
          <w:color w:val="000000"/>
          <w:sz w:val="22"/>
        </w:rPr>
        <w:t>CERTIFICATION PURSUANT TO</w:t>
      </w:r>
    </w:p>
    <w:p>
      <w:pPr>
        <w:pStyle w:val="TextBody"/>
        <w:bidi w:val="0"/>
        <w:spacing w:lineRule="auto" w:line="288" w:before="0" w:after="0"/>
        <w:ind w:left="0" w:right="0" w:firstLine="180"/>
        <w:jc w:val="center"/>
        <w:rPr>
          <w:rFonts w:ascii="Times New Roman;serif" w:hAnsi="Times New Roman;serif"/>
          <w:b w:val="false"/>
          <w:color w:val="000000"/>
          <w:sz w:val="22"/>
        </w:rPr>
      </w:pPr>
      <w:r>
        <w:rPr>
          <w:rFonts w:ascii="Times New Roman;serif" w:hAnsi="Times New Roman;serif"/>
          <w:b w:val="false"/>
          <w:color w:val="000000"/>
          <w:sz w:val="22"/>
        </w:rPr>
        <w:t>18 U.S.C. SECTION 1350,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ADOPTED PURSUANT TO</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SECTION 906 OF THE SARBANES-OXLEY ACT OF 2002</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of Lifecore Biomedical, Inc. (the “Company”) for the period ended June 30, 2026, as filed with the Securities and Exchange Commission on the date hereof (the “Report”), I, Ryan D. Lake, Chief Financial Officer of the Company, certify, pursuant to 18 U.S.C. § 1350, as adopted pursuant to § 906 of the Sarbanes-Oxley Act of 2002, that:</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lineRule="auto" w:line="288"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lineRule="auto" w:line="288" w:before="0" w:after="200"/>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bl>
      <w:tblPr>
        <w:tblW w:w="3746" w:type="dxa"/>
        <w:jc w:val="left"/>
        <w:tblInd w:w="0" w:type="dxa"/>
        <w:tblLayout w:type="fixed"/>
        <w:tblCellMar>
          <w:top w:w="28" w:type="dxa"/>
          <w:left w:w="28" w:type="dxa"/>
          <w:bottom w:w="28" w:type="dxa"/>
          <w:right w:w="28" w:type="dxa"/>
        </w:tblCellMar>
      </w:tblPr>
      <w:tblGrid>
        <w:gridCol w:w="124"/>
        <w:gridCol w:w="109"/>
        <w:gridCol w:w="109"/>
        <w:gridCol w:w="997"/>
        <w:gridCol w:w="997"/>
        <w:gridCol w:w="14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Ryan D. Lake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Ryan D. Lake</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5286/000100528626000023/a2026stockincentiveplan.htm" TargetMode="External"/><Relationship Id="rId3" Type="http://schemas.openxmlformats.org/officeDocument/2006/relationships/hyperlink" Target="https://www.sec.gov/Archives/edgar/data/1005286/000100528626000023/a2026stockincentiveplan.htm" TargetMode="External"/><Relationship Id="rId4" Type="http://schemas.openxmlformats.org/officeDocument/2006/relationships/hyperlink" Target="https://www.sec.gov/Archives/edgar/data/1005286/000100528626000023/a2026stockincentiveplan.htm" TargetMode="External"/><Relationship Id="rId5" Type="http://schemas.openxmlformats.org/officeDocument/2006/relationships/hyperlink" Target="https://www.sec.gov/Archives/edgar/data/1005286/000100528626000023/a2026stockincentiveplan.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18256</Words>
  <Characters>100586</Characters>
  <CharactersWithSpaces>117639</CharactersWithSpaces>
  <Paragraphs>2245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